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2C0BBD70" wp14:editId="596F2948">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rsidR="00197F1D" w:rsidRDefault="00197F1D" w:rsidP="00197F1D">
      <w:pPr>
        <w:rPr>
          <w:b/>
          <w:sz w:val="24"/>
          <w:szCs w:val="24"/>
        </w:rPr>
      </w:pPr>
    </w:p>
    <w:p w:rsidR="00197F1D" w:rsidRDefault="00197F1D" w:rsidP="00197F1D">
      <w:pPr>
        <w:rPr>
          <w:b/>
          <w:sz w:val="24"/>
          <w:szCs w:val="24"/>
        </w:rPr>
      </w:pPr>
    </w:p>
    <w:p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rsidTr="009F52B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C95CD4" w:rsidRDefault="00AA7203" w:rsidP="006B3A95">
            <w:pPr>
              <w:spacing w:line="360" w:lineRule="auto"/>
              <w:rPr>
                <w:b/>
                <w:sz w:val="28"/>
                <w:szCs w:val="28"/>
              </w:rPr>
            </w:pPr>
            <w:r>
              <w:rPr>
                <w:sz w:val="28"/>
                <w:szCs w:val="28"/>
              </w:rPr>
              <w:t>Performance and Resources Committee</w:t>
            </w:r>
            <w:r w:rsidR="0028440A">
              <w:rPr>
                <w:sz w:val="28"/>
                <w:szCs w:val="28"/>
              </w:rPr>
              <w:t xml:space="preserve"> </w:t>
            </w:r>
            <w:r w:rsidR="0028440A" w:rsidRPr="00C95CD4">
              <w:rPr>
                <w:sz w:val="28"/>
                <w:szCs w:val="28"/>
              </w:rPr>
              <w:t>Meeting</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C95CD4" w:rsidRDefault="00197F1D" w:rsidP="009F52B8">
            <w:pPr>
              <w:spacing w:line="360" w:lineRule="auto"/>
            </w:pPr>
            <w:r w:rsidRPr="00C95CD4">
              <w:t xml:space="preserve">Date of Meeting </w:t>
            </w:r>
          </w:p>
        </w:tc>
        <w:tc>
          <w:tcPr>
            <w:tcW w:w="6866" w:type="dxa"/>
            <w:tcBorders>
              <w:top w:val="single" w:sz="4" w:space="0" w:color="548DD4" w:themeColor="text2" w:themeTint="99"/>
              <w:right w:val="nil"/>
            </w:tcBorders>
          </w:tcPr>
          <w:p w:rsidR="00197F1D" w:rsidRPr="00C95CD4" w:rsidRDefault="004534D0" w:rsidP="009475FA">
            <w:pPr>
              <w:spacing w:line="360" w:lineRule="auto"/>
              <w:cnfStyle w:val="000000100000" w:firstRow="0" w:lastRow="0" w:firstColumn="0" w:lastColumn="0" w:oddVBand="0" w:evenVBand="0" w:oddHBand="1" w:evenHBand="0" w:firstRowFirstColumn="0" w:firstRowLastColumn="0" w:lastRowFirstColumn="0" w:lastRowLastColumn="0"/>
            </w:pPr>
            <w:r>
              <w:t>Wednesda</w:t>
            </w:r>
            <w:r w:rsidR="002702DA">
              <w:t>y</w:t>
            </w:r>
            <w:r w:rsidR="00DD036D">
              <w:t xml:space="preserve"> </w:t>
            </w:r>
            <w:r w:rsidR="009475FA">
              <w:t>18</w:t>
            </w:r>
            <w:r w:rsidR="00E17B77">
              <w:t xml:space="preserve"> </w:t>
            </w:r>
            <w:r w:rsidR="009475FA">
              <w:t>December</w:t>
            </w:r>
            <w:r w:rsidR="00675B14">
              <w:t xml:space="preserve"> 201</w:t>
            </w:r>
            <w:r w:rsidR="008E4446">
              <w:t>9</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Title</w:t>
            </w:r>
          </w:p>
        </w:tc>
        <w:tc>
          <w:tcPr>
            <w:tcW w:w="6866" w:type="dxa"/>
            <w:tcBorders>
              <w:top w:val="nil"/>
              <w:bottom w:val="nil"/>
              <w:right w:val="nil"/>
            </w:tcBorders>
          </w:tcPr>
          <w:p w:rsidR="00197F1D" w:rsidRPr="00C95CD4" w:rsidRDefault="003D6059" w:rsidP="002702DA">
            <w:pPr>
              <w:spacing w:line="360" w:lineRule="auto"/>
              <w:cnfStyle w:val="000000000000" w:firstRow="0" w:lastRow="0" w:firstColumn="0" w:lastColumn="0" w:oddVBand="0" w:evenVBand="0" w:oddHBand="0" w:evenHBand="0" w:firstRowFirstColumn="0" w:firstRowLastColumn="0" w:lastRowFirstColumn="0" w:lastRowLastColumn="0"/>
            </w:pPr>
            <w:r>
              <w:t xml:space="preserve">Capital </w:t>
            </w:r>
            <w:r w:rsidR="001C7B88">
              <w:t xml:space="preserve">Funding </w:t>
            </w:r>
            <w:r w:rsidR="008E4446">
              <w:t>–</w:t>
            </w:r>
            <w:r w:rsidR="00DD1B0D">
              <w:t xml:space="preserve"> </w:t>
            </w:r>
            <w:r w:rsidR="009306BD">
              <w:t>201</w:t>
            </w:r>
            <w:r w:rsidR="002702DA">
              <w:t>9</w:t>
            </w:r>
            <w:r w:rsidR="008E4446">
              <w:t>-</w:t>
            </w:r>
            <w:r w:rsidR="002702DA">
              <w:t>20</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Agenda Item</w:t>
            </w:r>
          </w:p>
        </w:tc>
        <w:tc>
          <w:tcPr>
            <w:tcW w:w="6866" w:type="dxa"/>
            <w:tcBorders>
              <w:right w:val="nil"/>
            </w:tcBorders>
          </w:tcPr>
          <w:p w:rsidR="00197F1D" w:rsidRPr="00C95CD4" w:rsidRDefault="000C0B4E" w:rsidP="009F52B8">
            <w:pPr>
              <w:spacing w:line="360" w:lineRule="auto"/>
              <w:cnfStyle w:val="000000100000" w:firstRow="0" w:lastRow="0" w:firstColumn="0" w:lastColumn="0" w:oddVBand="0" w:evenVBand="0" w:oddHBand="1" w:evenHBand="0" w:firstRowFirstColumn="0" w:firstRowLastColumn="0" w:lastRowFirstColumn="0" w:lastRowLastColumn="0"/>
            </w:pPr>
            <w:r>
              <w:t>10</w:t>
            </w:r>
            <w:bookmarkStart w:id="0" w:name="_GoBack"/>
            <w:bookmarkEnd w:id="0"/>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Number</w:t>
            </w:r>
          </w:p>
        </w:tc>
        <w:tc>
          <w:tcPr>
            <w:tcW w:w="6866" w:type="dxa"/>
            <w:tcBorders>
              <w:right w:val="nil"/>
            </w:tcBorders>
          </w:tcPr>
          <w:p w:rsidR="00197F1D" w:rsidRPr="00C95CD4" w:rsidRDefault="00B3233B" w:rsidP="009475FA">
            <w:pPr>
              <w:spacing w:line="360" w:lineRule="auto"/>
              <w:cnfStyle w:val="000000000000" w:firstRow="0" w:lastRow="0" w:firstColumn="0" w:lastColumn="0" w:oddVBand="0" w:evenVBand="0" w:oddHBand="0" w:evenHBand="0" w:firstRowFirstColumn="0" w:firstRowLastColumn="0" w:lastRowFirstColumn="0" w:lastRowLastColumn="0"/>
            </w:pPr>
            <w:r>
              <w:t>PRC</w:t>
            </w:r>
            <w:r w:rsidR="009475FA">
              <w:t>2</w:t>
            </w:r>
            <w:r w:rsidR="00B27588">
              <w:t>-</w:t>
            </w:r>
            <w:r w:rsidR="00460B03">
              <w:t>F</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 xml:space="preserve">Responsible Officer </w:t>
            </w:r>
          </w:p>
        </w:tc>
        <w:tc>
          <w:tcPr>
            <w:tcW w:w="6866" w:type="dxa"/>
            <w:tcBorders>
              <w:right w:val="nil"/>
            </w:tcBorders>
          </w:tcPr>
          <w:p w:rsidR="00815F48" w:rsidRPr="00C95CD4" w:rsidRDefault="006F40EC" w:rsidP="009475FA">
            <w:pPr>
              <w:spacing w:line="360" w:lineRule="auto"/>
              <w:cnfStyle w:val="000000100000" w:firstRow="0" w:lastRow="0" w:firstColumn="0" w:lastColumn="0" w:oddVBand="0" w:evenVBand="0" w:oddHBand="1" w:evenHBand="0" w:firstRowFirstColumn="0" w:firstRowLastColumn="0" w:lastRowFirstColumn="0" w:lastRowLastColumn="0"/>
            </w:pPr>
            <w:r>
              <w:t>Jim Godfrey</w:t>
            </w:r>
            <w:r w:rsidR="00815F48">
              <w:t xml:space="preserve">, </w:t>
            </w:r>
            <w:r w:rsidR="009475FA">
              <w:t xml:space="preserve">Interim Executive </w:t>
            </w:r>
            <w:r w:rsidR="00E17B77">
              <w:t>Director</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652B6D" w:rsidP="009F52B8">
            <w:pPr>
              <w:spacing w:line="360" w:lineRule="auto"/>
            </w:pPr>
            <w:r>
              <w:t xml:space="preserve">Recommended </w:t>
            </w:r>
            <w:r w:rsidR="00197F1D" w:rsidRPr="00C95CD4">
              <w:t>Status</w:t>
            </w:r>
          </w:p>
        </w:tc>
        <w:tc>
          <w:tcPr>
            <w:tcW w:w="6866" w:type="dxa"/>
            <w:tcBorders>
              <w:right w:val="nil"/>
            </w:tcBorders>
          </w:tcPr>
          <w:p w:rsidR="00197F1D" w:rsidRPr="00C95CD4"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r>
              <w:t xml:space="preserve"> </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C95CD4" w:rsidRDefault="00197F1D" w:rsidP="009F52B8">
            <w:pPr>
              <w:spacing w:line="360" w:lineRule="auto"/>
            </w:pPr>
            <w:r w:rsidRPr="00C95CD4">
              <w:t>Action</w:t>
            </w:r>
          </w:p>
        </w:tc>
        <w:tc>
          <w:tcPr>
            <w:tcW w:w="6866" w:type="dxa"/>
            <w:tcBorders>
              <w:bottom w:val="single" w:sz="8" w:space="0" w:color="4F81BD" w:themeColor="accent1"/>
              <w:right w:val="nil"/>
            </w:tcBorders>
          </w:tcPr>
          <w:p w:rsidR="00197F1D" w:rsidRPr="00C95CD4" w:rsidRDefault="00197F1D" w:rsidP="000615C0">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0615C0">
              <w:t>Information</w:t>
            </w:r>
          </w:p>
        </w:tc>
      </w:tr>
    </w:tbl>
    <w:p w:rsidR="00F412D3" w:rsidRDefault="00F412D3"/>
    <w:p w:rsidR="00252D89" w:rsidRPr="00925AF2" w:rsidRDefault="00252D89" w:rsidP="00890495">
      <w:pPr>
        <w:pStyle w:val="Paperparalevel1"/>
        <w:ind w:left="567" w:hanging="567"/>
      </w:pPr>
      <w:r w:rsidRPr="00925AF2">
        <w:t>Report Purpose</w:t>
      </w:r>
    </w:p>
    <w:p w:rsidR="00252D89" w:rsidRPr="000624FE" w:rsidRDefault="0048452D" w:rsidP="00890495">
      <w:pPr>
        <w:pStyle w:val="Paperparalevel2"/>
        <w:ind w:left="1134" w:hanging="567"/>
      </w:pPr>
      <w:r>
        <w:t>Consider the</w:t>
      </w:r>
      <w:r w:rsidR="00204485">
        <w:t xml:space="preserve"> prog</w:t>
      </w:r>
      <w:r w:rsidR="001C7B88">
        <w:t xml:space="preserve">ress reports for the </w:t>
      </w:r>
      <w:r w:rsidR="00204485">
        <w:t xml:space="preserve">capital </w:t>
      </w:r>
      <w:r w:rsidR="001C7B88">
        <w:t>projects in 201</w:t>
      </w:r>
      <w:r w:rsidR="002702DA">
        <w:t>9</w:t>
      </w:r>
      <w:r w:rsidR="001C7B88">
        <w:t>-</w:t>
      </w:r>
      <w:r w:rsidR="002702DA">
        <w:t>20</w:t>
      </w:r>
      <w:r w:rsidR="00204485">
        <w:t>.</w:t>
      </w:r>
    </w:p>
    <w:p w:rsidR="00252D89" w:rsidRDefault="00252D89" w:rsidP="00915C47">
      <w:pPr>
        <w:pStyle w:val="Paperparalevel1"/>
        <w:ind w:left="567" w:hanging="567"/>
      </w:pPr>
      <w:r w:rsidRPr="00AA7203">
        <w:t>Recommendations</w:t>
      </w:r>
    </w:p>
    <w:p w:rsidR="00B27588" w:rsidRDefault="0096777D" w:rsidP="002702DA">
      <w:pPr>
        <w:pStyle w:val="Paperparalevel2"/>
        <w:ind w:left="1134" w:hanging="567"/>
      </w:pPr>
      <w:r w:rsidRPr="0096777D">
        <w:t xml:space="preserve">The </w:t>
      </w:r>
      <w:r w:rsidR="00834471">
        <w:t>Committee</w:t>
      </w:r>
      <w:r w:rsidRPr="0096777D">
        <w:t xml:space="preserve"> is invited to</w:t>
      </w:r>
      <w:r w:rsidR="002702DA">
        <w:t xml:space="preserve"> </w:t>
      </w:r>
      <w:r w:rsidR="002702DA" w:rsidRPr="002702DA">
        <w:rPr>
          <w:b/>
        </w:rPr>
        <w:t>n</w:t>
      </w:r>
      <w:r w:rsidR="00890495" w:rsidRPr="002702DA">
        <w:rPr>
          <w:b/>
        </w:rPr>
        <w:t>ote</w:t>
      </w:r>
      <w:r w:rsidR="00890495" w:rsidRPr="0028440A">
        <w:t xml:space="preserve"> </w:t>
      </w:r>
      <w:r w:rsidR="00890495">
        <w:t xml:space="preserve">the </w:t>
      </w:r>
      <w:r w:rsidR="001C7B88">
        <w:t xml:space="preserve">progress made by the colleges in respect of the </w:t>
      </w:r>
      <w:r w:rsidR="00E50762">
        <w:t xml:space="preserve">capital projects </w:t>
      </w:r>
      <w:r w:rsidR="001C7B88">
        <w:t>in 201</w:t>
      </w:r>
      <w:r w:rsidR="008E43E3">
        <w:t>9</w:t>
      </w:r>
      <w:r w:rsidR="002702DA">
        <w:t>-20</w:t>
      </w:r>
      <w:r w:rsidR="00175630">
        <w:t>.</w:t>
      </w:r>
    </w:p>
    <w:p w:rsidR="00252D89" w:rsidRPr="008F1A22" w:rsidRDefault="00252D89" w:rsidP="00915C47">
      <w:pPr>
        <w:pStyle w:val="Paperparalevel1"/>
        <w:ind w:left="567" w:hanging="567"/>
      </w:pPr>
      <w:bookmarkStart w:id="1" w:name="_Ref419831381"/>
      <w:r>
        <w:t>Background</w:t>
      </w:r>
      <w:bookmarkEnd w:id="1"/>
    </w:p>
    <w:p w:rsidR="009A6B32" w:rsidRDefault="00B079A6" w:rsidP="004B7B07">
      <w:pPr>
        <w:pStyle w:val="Paperparalevel2"/>
        <w:ind w:left="1134" w:hanging="567"/>
      </w:pPr>
      <w:r>
        <w:t xml:space="preserve">The capital funds for </w:t>
      </w:r>
      <w:r w:rsidR="002C7350">
        <w:t>201</w:t>
      </w:r>
      <w:r w:rsidR="002702DA">
        <w:t>9</w:t>
      </w:r>
      <w:r w:rsidR="002C7350">
        <w:t>-</w:t>
      </w:r>
      <w:r w:rsidR="002702DA">
        <w:t>20</w:t>
      </w:r>
      <w:r>
        <w:t xml:space="preserve"> were allocated by SFC to GCRB and GCRB to the three colleges as follows:</w:t>
      </w:r>
    </w:p>
    <w:tbl>
      <w:tblPr>
        <w:tblStyle w:val="TableGrid"/>
        <w:tblW w:w="0" w:type="auto"/>
        <w:jc w:val="center"/>
        <w:tblLook w:val="04A0" w:firstRow="1" w:lastRow="0" w:firstColumn="1" w:lastColumn="0" w:noHBand="0" w:noVBand="1"/>
      </w:tblPr>
      <w:tblGrid>
        <w:gridCol w:w="3266"/>
        <w:gridCol w:w="1275"/>
        <w:gridCol w:w="1276"/>
        <w:gridCol w:w="1244"/>
        <w:gridCol w:w="1398"/>
      </w:tblGrid>
      <w:tr w:rsidR="00B079A6" w:rsidTr="00E00D1B">
        <w:trPr>
          <w:jc w:val="center"/>
        </w:trPr>
        <w:tc>
          <w:tcPr>
            <w:tcW w:w="3266" w:type="dxa"/>
            <w:vAlign w:val="center"/>
          </w:tcPr>
          <w:p w:rsidR="00B079A6" w:rsidRDefault="00B079A6" w:rsidP="00E30EF4"/>
        </w:tc>
        <w:tc>
          <w:tcPr>
            <w:tcW w:w="1275" w:type="dxa"/>
            <w:vAlign w:val="center"/>
            <w:hideMark/>
          </w:tcPr>
          <w:p w:rsidR="00B079A6" w:rsidRDefault="00B079A6" w:rsidP="00E30EF4">
            <w:pPr>
              <w:rPr>
                <w:b/>
              </w:rPr>
            </w:pPr>
            <w:r>
              <w:rPr>
                <w:b/>
              </w:rPr>
              <w:t>City of Glasgow College</w:t>
            </w:r>
          </w:p>
        </w:tc>
        <w:tc>
          <w:tcPr>
            <w:tcW w:w="1276" w:type="dxa"/>
            <w:vAlign w:val="center"/>
            <w:hideMark/>
          </w:tcPr>
          <w:p w:rsidR="00B079A6" w:rsidRDefault="00B079A6" w:rsidP="00E30EF4">
            <w:pPr>
              <w:rPr>
                <w:b/>
              </w:rPr>
            </w:pPr>
            <w:r>
              <w:rPr>
                <w:b/>
              </w:rPr>
              <w:t>Glasgow Clyde College</w:t>
            </w:r>
          </w:p>
        </w:tc>
        <w:tc>
          <w:tcPr>
            <w:tcW w:w="1244" w:type="dxa"/>
            <w:vAlign w:val="center"/>
            <w:hideMark/>
          </w:tcPr>
          <w:p w:rsidR="00B079A6" w:rsidRDefault="00B079A6" w:rsidP="00E30EF4">
            <w:pPr>
              <w:rPr>
                <w:b/>
              </w:rPr>
            </w:pPr>
            <w:r>
              <w:rPr>
                <w:b/>
              </w:rPr>
              <w:t>Glasgow Kelvin College</w:t>
            </w:r>
          </w:p>
        </w:tc>
        <w:tc>
          <w:tcPr>
            <w:tcW w:w="1398" w:type="dxa"/>
            <w:vAlign w:val="center"/>
          </w:tcPr>
          <w:p w:rsidR="00B079A6" w:rsidRDefault="00B079A6" w:rsidP="00E30EF4">
            <w:pPr>
              <w:rPr>
                <w:b/>
              </w:rPr>
            </w:pPr>
            <w:r>
              <w:rPr>
                <w:b/>
              </w:rPr>
              <w:t>Total</w:t>
            </w:r>
          </w:p>
        </w:tc>
      </w:tr>
      <w:tr w:rsidR="00B079A6" w:rsidTr="00E00D1B">
        <w:trPr>
          <w:jc w:val="center"/>
        </w:trPr>
        <w:tc>
          <w:tcPr>
            <w:tcW w:w="3266" w:type="dxa"/>
            <w:vAlign w:val="center"/>
            <w:hideMark/>
          </w:tcPr>
          <w:p w:rsidR="00B079A6" w:rsidRDefault="00B079A6" w:rsidP="00E30EF4">
            <w:pPr>
              <w:rPr>
                <w:b/>
              </w:rPr>
            </w:pPr>
            <w:r>
              <w:rPr>
                <w:b/>
              </w:rPr>
              <w:t>Lifecycle Maintenance</w:t>
            </w:r>
          </w:p>
        </w:tc>
        <w:tc>
          <w:tcPr>
            <w:tcW w:w="1275" w:type="dxa"/>
            <w:vAlign w:val="center"/>
            <w:hideMark/>
          </w:tcPr>
          <w:p w:rsidR="00B079A6" w:rsidRPr="00941928" w:rsidRDefault="00B079A6" w:rsidP="00F252DC">
            <w:pPr>
              <w:pStyle w:val="Default"/>
              <w:jc w:val="right"/>
              <w:rPr>
                <w:rFonts w:asciiTheme="minorHAnsi" w:hAnsiTheme="minorHAnsi"/>
                <w:sz w:val="22"/>
                <w:szCs w:val="22"/>
              </w:rPr>
            </w:pPr>
            <w:r w:rsidRPr="00941928">
              <w:rPr>
                <w:rFonts w:asciiTheme="minorHAnsi" w:hAnsiTheme="minorHAnsi"/>
                <w:sz w:val="22"/>
                <w:szCs w:val="22"/>
              </w:rPr>
              <w:t>£</w:t>
            </w:r>
            <w:r w:rsidR="00F252DC">
              <w:rPr>
                <w:rFonts w:asciiTheme="minorHAnsi" w:hAnsiTheme="minorHAnsi"/>
                <w:sz w:val="22"/>
                <w:szCs w:val="22"/>
              </w:rPr>
              <w:t>893,766</w:t>
            </w:r>
          </w:p>
        </w:tc>
        <w:tc>
          <w:tcPr>
            <w:tcW w:w="1276" w:type="dxa"/>
            <w:vAlign w:val="center"/>
            <w:hideMark/>
          </w:tcPr>
          <w:p w:rsidR="00B079A6" w:rsidRPr="00941928" w:rsidRDefault="00B079A6" w:rsidP="00F252DC">
            <w:pPr>
              <w:pStyle w:val="Default"/>
              <w:jc w:val="right"/>
              <w:rPr>
                <w:rFonts w:asciiTheme="minorHAnsi" w:hAnsiTheme="minorHAnsi"/>
                <w:sz w:val="22"/>
                <w:szCs w:val="22"/>
              </w:rPr>
            </w:pPr>
            <w:r w:rsidRPr="00941928">
              <w:rPr>
                <w:rFonts w:asciiTheme="minorHAnsi" w:hAnsiTheme="minorHAnsi"/>
                <w:sz w:val="22"/>
                <w:szCs w:val="22"/>
              </w:rPr>
              <w:t>£</w:t>
            </w:r>
            <w:r w:rsidR="00F252DC">
              <w:rPr>
                <w:rFonts w:asciiTheme="minorHAnsi" w:hAnsiTheme="minorHAnsi"/>
                <w:sz w:val="22"/>
                <w:szCs w:val="22"/>
              </w:rPr>
              <w:t>629</w:t>
            </w:r>
            <w:r w:rsidRPr="00941928">
              <w:rPr>
                <w:rFonts w:asciiTheme="minorHAnsi" w:hAnsiTheme="minorHAnsi"/>
                <w:sz w:val="22"/>
                <w:szCs w:val="22"/>
              </w:rPr>
              <w:t>,</w:t>
            </w:r>
            <w:r w:rsidR="00F252DC">
              <w:rPr>
                <w:rFonts w:asciiTheme="minorHAnsi" w:hAnsiTheme="minorHAnsi"/>
                <w:sz w:val="22"/>
                <w:szCs w:val="22"/>
              </w:rPr>
              <w:t>779</w:t>
            </w:r>
          </w:p>
        </w:tc>
        <w:tc>
          <w:tcPr>
            <w:tcW w:w="1244" w:type="dxa"/>
            <w:vAlign w:val="center"/>
            <w:hideMark/>
          </w:tcPr>
          <w:p w:rsidR="00B079A6" w:rsidRPr="00941928" w:rsidRDefault="00B079A6" w:rsidP="00F252DC">
            <w:pPr>
              <w:pStyle w:val="Default"/>
              <w:jc w:val="right"/>
              <w:rPr>
                <w:rFonts w:asciiTheme="minorHAnsi" w:hAnsiTheme="minorHAnsi"/>
                <w:sz w:val="22"/>
                <w:szCs w:val="22"/>
              </w:rPr>
            </w:pPr>
            <w:r w:rsidRPr="00941928">
              <w:rPr>
                <w:rFonts w:asciiTheme="minorHAnsi" w:hAnsiTheme="minorHAnsi"/>
                <w:sz w:val="22"/>
                <w:szCs w:val="22"/>
              </w:rPr>
              <w:t>£</w:t>
            </w:r>
            <w:r w:rsidR="00F252DC">
              <w:rPr>
                <w:rFonts w:asciiTheme="minorHAnsi" w:hAnsiTheme="minorHAnsi"/>
                <w:sz w:val="22"/>
                <w:szCs w:val="22"/>
              </w:rPr>
              <w:t>393</w:t>
            </w:r>
            <w:r w:rsidRPr="00941928">
              <w:rPr>
                <w:rFonts w:asciiTheme="minorHAnsi" w:hAnsiTheme="minorHAnsi"/>
                <w:sz w:val="22"/>
                <w:szCs w:val="22"/>
              </w:rPr>
              <w:t>,</w:t>
            </w:r>
            <w:r w:rsidR="00F252DC">
              <w:rPr>
                <w:rFonts w:asciiTheme="minorHAnsi" w:hAnsiTheme="minorHAnsi"/>
                <w:sz w:val="22"/>
                <w:szCs w:val="22"/>
              </w:rPr>
              <w:t>455</w:t>
            </w:r>
          </w:p>
        </w:tc>
        <w:tc>
          <w:tcPr>
            <w:tcW w:w="1398" w:type="dxa"/>
            <w:vAlign w:val="center"/>
          </w:tcPr>
          <w:p w:rsidR="00B079A6" w:rsidRPr="00941928" w:rsidRDefault="00B079A6" w:rsidP="00E30EF4">
            <w:pPr>
              <w:pStyle w:val="Default"/>
              <w:jc w:val="right"/>
              <w:rPr>
                <w:rFonts w:asciiTheme="minorHAnsi" w:hAnsiTheme="minorHAnsi"/>
                <w:b/>
                <w:noProof/>
                <w:sz w:val="22"/>
                <w:szCs w:val="22"/>
              </w:rPr>
            </w:pPr>
            <w:r w:rsidRPr="00941928">
              <w:rPr>
                <w:rFonts w:asciiTheme="minorHAnsi" w:hAnsiTheme="minorHAnsi"/>
                <w:b/>
                <w:noProof/>
                <w:sz w:val="22"/>
                <w:szCs w:val="22"/>
              </w:rPr>
              <w:fldChar w:fldCharType="begin"/>
            </w:r>
            <w:r w:rsidRPr="00941928">
              <w:rPr>
                <w:rFonts w:asciiTheme="minorHAnsi" w:hAnsiTheme="minorHAnsi"/>
                <w:b/>
                <w:noProof/>
                <w:sz w:val="22"/>
                <w:szCs w:val="22"/>
              </w:rPr>
              <w:instrText xml:space="preserve"> =SUM(LEFT) \# "£#,##0;(£#,##0)" </w:instrText>
            </w:r>
            <w:r w:rsidRPr="00941928">
              <w:rPr>
                <w:rFonts w:asciiTheme="minorHAnsi" w:hAnsiTheme="minorHAnsi"/>
                <w:b/>
                <w:noProof/>
                <w:sz w:val="22"/>
                <w:szCs w:val="22"/>
              </w:rPr>
              <w:fldChar w:fldCharType="separate"/>
            </w:r>
            <w:r w:rsidR="00F252DC" w:rsidRPr="00941928">
              <w:rPr>
                <w:rFonts w:asciiTheme="minorHAnsi" w:hAnsiTheme="minorHAnsi"/>
                <w:b/>
                <w:noProof/>
                <w:sz w:val="22"/>
                <w:szCs w:val="22"/>
              </w:rPr>
              <w:t>£</w:t>
            </w:r>
            <w:r w:rsidR="00F252DC">
              <w:rPr>
                <w:rFonts w:asciiTheme="minorHAnsi" w:hAnsiTheme="minorHAnsi"/>
                <w:b/>
                <w:noProof/>
                <w:sz w:val="22"/>
                <w:szCs w:val="22"/>
              </w:rPr>
              <w:t>1,917,000</w:t>
            </w:r>
            <w:r w:rsidRPr="00941928">
              <w:rPr>
                <w:rFonts w:asciiTheme="minorHAnsi" w:hAnsiTheme="minorHAnsi"/>
                <w:b/>
                <w:noProof/>
                <w:sz w:val="22"/>
                <w:szCs w:val="22"/>
              </w:rPr>
              <w:fldChar w:fldCharType="end"/>
            </w:r>
          </w:p>
        </w:tc>
      </w:tr>
      <w:tr w:rsidR="00B079A6" w:rsidTr="00E00D1B">
        <w:trPr>
          <w:jc w:val="center"/>
        </w:trPr>
        <w:tc>
          <w:tcPr>
            <w:tcW w:w="3266" w:type="dxa"/>
            <w:vAlign w:val="center"/>
          </w:tcPr>
          <w:p w:rsidR="00B079A6" w:rsidRDefault="00B079A6" w:rsidP="00F252DC">
            <w:pPr>
              <w:rPr>
                <w:b/>
              </w:rPr>
            </w:pPr>
            <w:r>
              <w:rPr>
                <w:b/>
              </w:rPr>
              <w:t>Very High Priority Maintenance</w:t>
            </w:r>
          </w:p>
        </w:tc>
        <w:tc>
          <w:tcPr>
            <w:tcW w:w="1275" w:type="dxa"/>
            <w:shd w:val="clear" w:color="auto" w:fill="FFFFFF" w:themeFill="background1"/>
            <w:vAlign w:val="center"/>
          </w:tcPr>
          <w:p w:rsidR="00B079A6" w:rsidRPr="00941928" w:rsidRDefault="00B079A6" w:rsidP="00E30EF4">
            <w:pPr>
              <w:pStyle w:val="Default"/>
              <w:jc w:val="right"/>
              <w:rPr>
                <w:rFonts w:asciiTheme="minorHAnsi" w:hAnsiTheme="minorHAnsi"/>
                <w:sz w:val="22"/>
                <w:szCs w:val="22"/>
              </w:rPr>
            </w:pPr>
            <w:r w:rsidRPr="00941928">
              <w:rPr>
                <w:rFonts w:asciiTheme="minorHAnsi" w:hAnsiTheme="minorHAnsi"/>
                <w:sz w:val="22"/>
                <w:szCs w:val="22"/>
              </w:rPr>
              <w:t>£0</w:t>
            </w:r>
          </w:p>
        </w:tc>
        <w:tc>
          <w:tcPr>
            <w:tcW w:w="1276" w:type="dxa"/>
            <w:shd w:val="clear" w:color="auto" w:fill="FFFFFF" w:themeFill="background1"/>
            <w:vAlign w:val="center"/>
          </w:tcPr>
          <w:p w:rsidR="00B079A6" w:rsidRPr="00941928" w:rsidRDefault="00E00D1B" w:rsidP="00F252DC">
            <w:pPr>
              <w:pStyle w:val="Default"/>
              <w:jc w:val="right"/>
              <w:rPr>
                <w:rFonts w:asciiTheme="minorHAnsi" w:hAnsiTheme="minorHAnsi"/>
                <w:sz w:val="22"/>
                <w:szCs w:val="22"/>
              </w:rPr>
            </w:pPr>
            <w:r>
              <w:rPr>
                <w:rFonts w:asciiTheme="minorHAnsi" w:hAnsiTheme="minorHAnsi"/>
                <w:sz w:val="22"/>
                <w:szCs w:val="22"/>
              </w:rPr>
              <w:t>£1,</w:t>
            </w:r>
            <w:r w:rsidR="00F252DC">
              <w:rPr>
                <w:rFonts w:asciiTheme="minorHAnsi" w:hAnsiTheme="minorHAnsi"/>
                <w:sz w:val="22"/>
                <w:szCs w:val="22"/>
              </w:rPr>
              <w:t>023</w:t>
            </w:r>
            <w:r w:rsidR="00B079A6" w:rsidRPr="00941928">
              <w:rPr>
                <w:rFonts w:asciiTheme="minorHAnsi" w:hAnsiTheme="minorHAnsi"/>
                <w:sz w:val="22"/>
                <w:szCs w:val="22"/>
              </w:rPr>
              <w:t>,</w:t>
            </w:r>
            <w:r w:rsidR="00F252DC">
              <w:rPr>
                <w:rFonts w:asciiTheme="minorHAnsi" w:hAnsiTheme="minorHAnsi"/>
                <w:sz w:val="22"/>
                <w:szCs w:val="22"/>
              </w:rPr>
              <w:t>000</w:t>
            </w:r>
          </w:p>
        </w:tc>
        <w:tc>
          <w:tcPr>
            <w:tcW w:w="1244" w:type="dxa"/>
            <w:shd w:val="clear" w:color="auto" w:fill="FFFFFF" w:themeFill="background1"/>
            <w:vAlign w:val="center"/>
          </w:tcPr>
          <w:p w:rsidR="00B079A6" w:rsidRPr="00941928" w:rsidRDefault="00B079A6" w:rsidP="00F252DC">
            <w:pPr>
              <w:pStyle w:val="Default"/>
              <w:jc w:val="right"/>
              <w:rPr>
                <w:rFonts w:asciiTheme="minorHAnsi" w:hAnsiTheme="minorHAnsi"/>
                <w:sz w:val="22"/>
                <w:szCs w:val="22"/>
              </w:rPr>
            </w:pPr>
            <w:r w:rsidRPr="00941928">
              <w:rPr>
                <w:rFonts w:asciiTheme="minorHAnsi" w:hAnsiTheme="minorHAnsi"/>
                <w:sz w:val="22"/>
                <w:szCs w:val="22"/>
              </w:rPr>
              <w:t>£</w:t>
            </w:r>
            <w:r w:rsidR="00F252DC">
              <w:rPr>
                <w:rFonts w:asciiTheme="minorHAnsi" w:hAnsiTheme="minorHAnsi"/>
                <w:sz w:val="22"/>
                <w:szCs w:val="22"/>
              </w:rPr>
              <w:t>600</w:t>
            </w:r>
            <w:r w:rsidRPr="00941928">
              <w:rPr>
                <w:rFonts w:asciiTheme="minorHAnsi" w:hAnsiTheme="minorHAnsi"/>
                <w:sz w:val="22"/>
                <w:szCs w:val="22"/>
              </w:rPr>
              <w:t>,</w:t>
            </w:r>
            <w:r w:rsidR="00F252DC">
              <w:rPr>
                <w:rFonts w:asciiTheme="minorHAnsi" w:hAnsiTheme="minorHAnsi"/>
                <w:sz w:val="22"/>
                <w:szCs w:val="22"/>
              </w:rPr>
              <w:t>000</w:t>
            </w:r>
          </w:p>
        </w:tc>
        <w:tc>
          <w:tcPr>
            <w:tcW w:w="1398" w:type="dxa"/>
            <w:shd w:val="clear" w:color="auto" w:fill="auto"/>
            <w:vAlign w:val="center"/>
          </w:tcPr>
          <w:p w:rsidR="00B079A6" w:rsidRPr="00941928" w:rsidRDefault="00B079A6" w:rsidP="00E30EF4">
            <w:pPr>
              <w:pStyle w:val="Default"/>
              <w:jc w:val="right"/>
              <w:rPr>
                <w:rFonts w:asciiTheme="minorHAnsi" w:hAnsiTheme="minorHAnsi"/>
                <w:b/>
                <w:noProof/>
                <w:sz w:val="22"/>
                <w:szCs w:val="22"/>
              </w:rPr>
            </w:pPr>
            <w:r w:rsidRPr="00941928">
              <w:rPr>
                <w:rFonts w:asciiTheme="minorHAnsi" w:hAnsiTheme="minorHAnsi"/>
                <w:b/>
                <w:noProof/>
                <w:sz w:val="22"/>
                <w:szCs w:val="22"/>
              </w:rPr>
              <w:fldChar w:fldCharType="begin"/>
            </w:r>
            <w:r w:rsidRPr="00941928">
              <w:rPr>
                <w:rFonts w:asciiTheme="minorHAnsi" w:hAnsiTheme="minorHAnsi"/>
                <w:b/>
                <w:noProof/>
                <w:sz w:val="22"/>
                <w:szCs w:val="22"/>
              </w:rPr>
              <w:instrText xml:space="preserve"> =SUM(LEFT) \# "£#,##0;(£#,##0)" </w:instrText>
            </w:r>
            <w:r w:rsidRPr="00941928">
              <w:rPr>
                <w:rFonts w:asciiTheme="minorHAnsi" w:hAnsiTheme="minorHAnsi"/>
                <w:b/>
                <w:noProof/>
                <w:sz w:val="22"/>
                <w:szCs w:val="22"/>
              </w:rPr>
              <w:fldChar w:fldCharType="separate"/>
            </w:r>
            <w:r w:rsidR="00F252DC" w:rsidRPr="00941928">
              <w:rPr>
                <w:rFonts w:asciiTheme="minorHAnsi" w:hAnsiTheme="minorHAnsi"/>
                <w:b/>
                <w:noProof/>
                <w:sz w:val="22"/>
                <w:szCs w:val="22"/>
              </w:rPr>
              <w:t>£</w:t>
            </w:r>
            <w:r w:rsidR="00F252DC">
              <w:rPr>
                <w:rFonts w:asciiTheme="minorHAnsi" w:hAnsiTheme="minorHAnsi"/>
                <w:b/>
                <w:noProof/>
                <w:sz w:val="22"/>
                <w:szCs w:val="22"/>
              </w:rPr>
              <w:t>1,623,000</w:t>
            </w:r>
            <w:r w:rsidRPr="00941928">
              <w:rPr>
                <w:rFonts w:asciiTheme="minorHAnsi" w:hAnsiTheme="minorHAnsi"/>
                <w:b/>
                <w:noProof/>
                <w:sz w:val="22"/>
                <w:szCs w:val="22"/>
              </w:rPr>
              <w:fldChar w:fldCharType="end"/>
            </w:r>
          </w:p>
        </w:tc>
      </w:tr>
      <w:tr w:rsidR="00B079A6" w:rsidTr="00E00D1B">
        <w:trPr>
          <w:jc w:val="center"/>
        </w:trPr>
        <w:tc>
          <w:tcPr>
            <w:tcW w:w="3266" w:type="dxa"/>
            <w:vAlign w:val="center"/>
            <w:hideMark/>
          </w:tcPr>
          <w:p w:rsidR="00B079A6" w:rsidRDefault="00B079A6" w:rsidP="00E30EF4">
            <w:pPr>
              <w:rPr>
                <w:b/>
              </w:rPr>
            </w:pPr>
            <w:r>
              <w:rPr>
                <w:b/>
              </w:rPr>
              <w:t>Total</w:t>
            </w:r>
          </w:p>
        </w:tc>
        <w:tc>
          <w:tcPr>
            <w:tcW w:w="1275" w:type="dxa"/>
            <w:shd w:val="clear" w:color="auto" w:fill="FFFFFF" w:themeFill="background1"/>
            <w:vAlign w:val="center"/>
          </w:tcPr>
          <w:p w:rsidR="00B079A6" w:rsidRDefault="00B079A6" w:rsidP="00E30EF4">
            <w:pPr>
              <w:jc w:val="right"/>
            </w:pPr>
            <w:r w:rsidRPr="00C50350">
              <w:rPr>
                <w:b/>
              </w:rPr>
              <w:fldChar w:fldCharType="begin"/>
            </w:r>
            <w:r w:rsidRPr="00C50350">
              <w:rPr>
                <w:b/>
              </w:rPr>
              <w:instrText xml:space="preserve"> =SUM(ABOVE) \# "£#,##;(£#,##)" </w:instrText>
            </w:r>
            <w:r w:rsidRPr="00C50350">
              <w:rPr>
                <w:b/>
              </w:rPr>
              <w:fldChar w:fldCharType="separate"/>
            </w:r>
            <w:r w:rsidR="00F252DC" w:rsidRPr="00C50350">
              <w:rPr>
                <w:b/>
                <w:noProof/>
              </w:rPr>
              <w:t>£</w:t>
            </w:r>
            <w:r w:rsidR="00F252DC">
              <w:rPr>
                <w:b/>
                <w:noProof/>
              </w:rPr>
              <w:t>893,766</w:t>
            </w:r>
            <w:r w:rsidRPr="00C50350">
              <w:rPr>
                <w:b/>
              </w:rPr>
              <w:fldChar w:fldCharType="end"/>
            </w:r>
          </w:p>
        </w:tc>
        <w:tc>
          <w:tcPr>
            <w:tcW w:w="1276" w:type="dxa"/>
            <w:shd w:val="clear" w:color="auto" w:fill="FFFFFF" w:themeFill="background1"/>
          </w:tcPr>
          <w:p w:rsidR="00B079A6" w:rsidRDefault="00B079A6" w:rsidP="00E30EF4">
            <w:pPr>
              <w:jc w:val="right"/>
            </w:pPr>
            <w:r w:rsidRPr="006A4B14">
              <w:rPr>
                <w:b/>
              </w:rPr>
              <w:fldChar w:fldCharType="begin"/>
            </w:r>
            <w:r w:rsidRPr="006A4B14">
              <w:rPr>
                <w:b/>
              </w:rPr>
              <w:instrText xml:space="preserve"> =SUM(ABOVE) \# "£#,##;(£#,##)" </w:instrText>
            </w:r>
            <w:r w:rsidRPr="006A4B14">
              <w:rPr>
                <w:b/>
              </w:rPr>
              <w:fldChar w:fldCharType="separate"/>
            </w:r>
            <w:r w:rsidR="00F252DC" w:rsidRPr="006A4B14">
              <w:rPr>
                <w:b/>
                <w:noProof/>
              </w:rPr>
              <w:t>£</w:t>
            </w:r>
            <w:r w:rsidR="00F252DC">
              <w:rPr>
                <w:b/>
                <w:noProof/>
              </w:rPr>
              <w:t>1,652,779</w:t>
            </w:r>
            <w:r w:rsidRPr="006A4B14">
              <w:rPr>
                <w:b/>
              </w:rPr>
              <w:fldChar w:fldCharType="end"/>
            </w:r>
          </w:p>
        </w:tc>
        <w:tc>
          <w:tcPr>
            <w:tcW w:w="1244" w:type="dxa"/>
            <w:shd w:val="clear" w:color="auto" w:fill="FFFFFF" w:themeFill="background1"/>
            <w:hideMark/>
          </w:tcPr>
          <w:p w:rsidR="00B079A6" w:rsidRDefault="00B079A6" w:rsidP="00E30EF4">
            <w:pPr>
              <w:jc w:val="right"/>
            </w:pPr>
            <w:r w:rsidRPr="006A4B14">
              <w:rPr>
                <w:b/>
              </w:rPr>
              <w:fldChar w:fldCharType="begin"/>
            </w:r>
            <w:r w:rsidRPr="006A4B14">
              <w:rPr>
                <w:b/>
              </w:rPr>
              <w:instrText xml:space="preserve"> =SUM(ABOVE) \# "£#,##;(£#,##)" </w:instrText>
            </w:r>
            <w:r w:rsidRPr="006A4B14">
              <w:rPr>
                <w:b/>
              </w:rPr>
              <w:fldChar w:fldCharType="separate"/>
            </w:r>
            <w:r w:rsidR="00F252DC" w:rsidRPr="006A4B14">
              <w:rPr>
                <w:b/>
                <w:noProof/>
              </w:rPr>
              <w:t>£</w:t>
            </w:r>
            <w:r w:rsidR="00F252DC">
              <w:rPr>
                <w:b/>
                <w:noProof/>
              </w:rPr>
              <w:t>993,455</w:t>
            </w:r>
            <w:r w:rsidRPr="006A4B14">
              <w:rPr>
                <w:b/>
              </w:rPr>
              <w:fldChar w:fldCharType="end"/>
            </w:r>
          </w:p>
        </w:tc>
        <w:tc>
          <w:tcPr>
            <w:tcW w:w="1398" w:type="dxa"/>
            <w:shd w:val="clear" w:color="auto" w:fill="FFFFFF" w:themeFill="background1"/>
            <w:vAlign w:val="center"/>
          </w:tcPr>
          <w:p w:rsidR="00B079A6" w:rsidRPr="00941928" w:rsidRDefault="00B079A6" w:rsidP="00E30EF4">
            <w:pPr>
              <w:pStyle w:val="Default"/>
              <w:jc w:val="right"/>
              <w:rPr>
                <w:rFonts w:asciiTheme="minorHAnsi" w:hAnsiTheme="minorHAnsi"/>
                <w:b/>
                <w:noProof/>
                <w:sz w:val="22"/>
                <w:szCs w:val="22"/>
              </w:rPr>
            </w:pPr>
            <w:r w:rsidRPr="00941928">
              <w:rPr>
                <w:rFonts w:asciiTheme="minorHAnsi" w:hAnsiTheme="minorHAnsi"/>
                <w:b/>
                <w:noProof/>
                <w:sz w:val="22"/>
                <w:szCs w:val="22"/>
              </w:rPr>
              <w:fldChar w:fldCharType="begin"/>
            </w:r>
            <w:r w:rsidRPr="00941928">
              <w:rPr>
                <w:rFonts w:asciiTheme="minorHAnsi" w:hAnsiTheme="minorHAnsi"/>
                <w:b/>
                <w:noProof/>
                <w:sz w:val="22"/>
                <w:szCs w:val="22"/>
              </w:rPr>
              <w:instrText xml:space="preserve"> =SUM(LEFT) \# "£#,##0;(£#,##0)" </w:instrText>
            </w:r>
            <w:r w:rsidRPr="00941928">
              <w:rPr>
                <w:rFonts w:asciiTheme="minorHAnsi" w:hAnsiTheme="minorHAnsi"/>
                <w:b/>
                <w:noProof/>
                <w:sz w:val="22"/>
                <w:szCs w:val="22"/>
              </w:rPr>
              <w:fldChar w:fldCharType="separate"/>
            </w:r>
            <w:r w:rsidR="00F252DC" w:rsidRPr="00941928">
              <w:rPr>
                <w:rFonts w:asciiTheme="minorHAnsi" w:hAnsiTheme="minorHAnsi"/>
                <w:b/>
                <w:noProof/>
                <w:sz w:val="22"/>
                <w:szCs w:val="22"/>
              </w:rPr>
              <w:t>£</w:t>
            </w:r>
            <w:r w:rsidR="00F252DC">
              <w:rPr>
                <w:rFonts w:asciiTheme="minorHAnsi" w:hAnsiTheme="minorHAnsi"/>
                <w:b/>
                <w:noProof/>
                <w:sz w:val="22"/>
                <w:szCs w:val="22"/>
              </w:rPr>
              <w:t>3,540,000</w:t>
            </w:r>
            <w:r w:rsidRPr="00941928">
              <w:rPr>
                <w:rFonts w:asciiTheme="minorHAnsi" w:hAnsiTheme="minorHAnsi"/>
                <w:b/>
                <w:noProof/>
                <w:sz w:val="22"/>
                <w:szCs w:val="22"/>
              </w:rPr>
              <w:fldChar w:fldCharType="end"/>
            </w:r>
          </w:p>
        </w:tc>
      </w:tr>
    </w:tbl>
    <w:p w:rsidR="009A6B32" w:rsidRDefault="009A6B32" w:rsidP="00106445">
      <w:pPr>
        <w:pStyle w:val="Paperparalevel2"/>
        <w:numPr>
          <w:ilvl w:val="0"/>
          <w:numId w:val="0"/>
        </w:numPr>
        <w:spacing w:after="0"/>
        <w:ind w:left="567"/>
      </w:pPr>
    </w:p>
    <w:p w:rsidR="00D31224" w:rsidRDefault="00D31224" w:rsidP="00D31224">
      <w:pPr>
        <w:pStyle w:val="Paperparalevel1"/>
        <w:ind w:left="567" w:hanging="567"/>
      </w:pPr>
      <w:r>
        <w:t>City of Glasgow College Update</w:t>
      </w:r>
    </w:p>
    <w:p w:rsidR="00D31224" w:rsidRDefault="004E44DF" w:rsidP="00D31224">
      <w:pPr>
        <w:pStyle w:val="Paperparalevel2"/>
        <w:spacing w:before="120"/>
        <w:ind w:left="1134" w:hanging="567"/>
      </w:pPr>
      <w:r>
        <w:t>City of Glasgow College</w:t>
      </w:r>
      <w:r w:rsidR="00D31224">
        <w:t xml:space="preserve"> received £893,766 towards the cost of lifecycle maintenance.  This is being used to meet the cost of the NPD unitary charge and to meet</w:t>
      </w:r>
      <w:r w:rsidR="00D31224" w:rsidRPr="005427B9">
        <w:rPr>
          <w:rFonts w:ascii="Calibri" w:hAnsi="Calibri"/>
          <w:color w:val="000000"/>
        </w:rPr>
        <w:t xml:space="preserve"> maintenance costs not included in the NPD contract.</w:t>
      </w:r>
    </w:p>
    <w:p w:rsidR="007534EC" w:rsidRDefault="004B7B07" w:rsidP="005427B9">
      <w:pPr>
        <w:pStyle w:val="Paperparalevel1"/>
        <w:ind w:left="567" w:hanging="567"/>
      </w:pPr>
      <w:r>
        <w:t>Glasgow Kelvin College Update</w:t>
      </w:r>
    </w:p>
    <w:p w:rsidR="009A7F4C" w:rsidRDefault="009A7F4C" w:rsidP="00D31224">
      <w:pPr>
        <w:pStyle w:val="Paperparalevel2"/>
        <w:ind w:left="1134" w:hanging="567"/>
      </w:pPr>
      <w:r>
        <w:t xml:space="preserve">Glasgow Kelvin College is </w:t>
      </w:r>
      <w:r w:rsidR="008B3C68">
        <w:t>implementing</w:t>
      </w:r>
      <w:r>
        <w:t xml:space="preserve"> its Ca</w:t>
      </w:r>
      <w:r w:rsidR="006A546E">
        <w:t xml:space="preserve">pital Plan </w:t>
      </w:r>
      <w:r w:rsidR="008B3C68">
        <w:t xml:space="preserve">and </w:t>
      </w:r>
      <w:r w:rsidR="009475FA">
        <w:t>delivering</w:t>
      </w:r>
      <w:r w:rsidR="00F252DC">
        <w:t xml:space="preserve"> </w:t>
      </w:r>
      <w:r w:rsidR="008B3C68">
        <w:t>a range of projects that are very high priority</w:t>
      </w:r>
      <w:r w:rsidR="008D2770">
        <w:t>.</w:t>
      </w:r>
      <w:r w:rsidR="00867D39">
        <w:t xml:space="preserve"> These projects are progressing well</w:t>
      </w:r>
      <w:r w:rsidR="00F252DC">
        <w:t xml:space="preserve"> and</w:t>
      </w:r>
      <w:r w:rsidR="00867D39">
        <w:t xml:space="preserve"> making a real difference to the campus buildings. </w:t>
      </w:r>
      <w:r w:rsidR="00F252DC">
        <w:t>A</w:t>
      </w:r>
      <w:r w:rsidR="00292A94" w:rsidRPr="00292A94">
        <w:t>n update</w:t>
      </w:r>
      <w:r w:rsidR="00F252DC">
        <w:t>,</w:t>
      </w:r>
      <w:r w:rsidR="00292A94" w:rsidRPr="00292A94">
        <w:t xml:space="preserve"> as at </w:t>
      </w:r>
      <w:r w:rsidR="007F6D08" w:rsidRPr="007F6D08">
        <w:t>3</w:t>
      </w:r>
      <w:r w:rsidR="009475FA">
        <w:t>0</w:t>
      </w:r>
      <w:r w:rsidR="00EF17B2">
        <w:t xml:space="preserve"> </w:t>
      </w:r>
      <w:r w:rsidR="009475FA">
        <w:t>November</w:t>
      </w:r>
      <w:r w:rsidR="007F6D08">
        <w:t xml:space="preserve"> </w:t>
      </w:r>
      <w:r w:rsidR="00EF17B2">
        <w:t>2019</w:t>
      </w:r>
      <w:r w:rsidR="00D31224">
        <w:t>,</w:t>
      </w:r>
      <w:r w:rsidR="00292A94" w:rsidRPr="00292A94">
        <w:t xml:space="preserve"> is provided below</w:t>
      </w:r>
      <w:r w:rsidR="008B3C68">
        <w:t>:</w:t>
      </w:r>
    </w:p>
    <w:p w:rsidR="00516DFB" w:rsidRDefault="00516DFB" w:rsidP="00516DFB">
      <w:pPr>
        <w:pStyle w:val="Paperparalevel1"/>
        <w:numPr>
          <w:ilvl w:val="0"/>
          <w:numId w:val="0"/>
        </w:numPr>
        <w:ind w:left="720" w:hanging="360"/>
      </w:pPr>
    </w:p>
    <w:tbl>
      <w:tblPr>
        <w:tblW w:w="9864" w:type="dxa"/>
        <w:jc w:val="center"/>
        <w:tblLook w:val="04A0" w:firstRow="1" w:lastRow="0" w:firstColumn="1" w:lastColumn="0" w:noHBand="0" w:noVBand="1"/>
      </w:tblPr>
      <w:tblGrid>
        <w:gridCol w:w="2229"/>
        <w:gridCol w:w="2212"/>
        <w:gridCol w:w="2214"/>
        <w:gridCol w:w="1010"/>
        <w:gridCol w:w="1018"/>
        <w:gridCol w:w="1181"/>
      </w:tblGrid>
      <w:tr w:rsidR="00201FA4" w:rsidTr="00201FA4">
        <w:trPr>
          <w:trHeight w:val="624"/>
          <w:jc w:val="center"/>
        </w:trPr>
        <w:tc>
          <w:tcPr>
            <w:tcW w:w="9864" w:type="dxa"/>
            <w:gridSpan w:val="6"/>
            <w:tcBorders>
              <w:top w:val="single" w:sz="8" w:space="0" w:color="auto"/>
              <w:left w:val="single" w:sz="8" w:space="0" w:color="auto"/>
              <w:bottom w:val="nil"/>
              <w:right w:val="single" w:sz="8" w:space="0" w:color="auto"/>
            </w:tcBorders>
            <w:vAlign w:val="center"/>
          </w:tcPr>
          <w:p w:rsidR="00201FA4" w:rsidRDefault="00201FA4" w:rsidP="00201FA4">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Glasgow Kelvin College</w:t>
            </w:r>
          </w:p>
        </w:tc>
      </w:tr>
      <w:tr w:rsidR="007A28DB" w:rsidTr="0035115C">
        <w:trPr>
          <w:trHeight w:val="615"/>
          <w:jc w:val="center"/>
        </w:trPr>
        <w:tc>
          <w:tcPr>
            <w:tcW w:w="2229" w:type="dxa"/>
            <w:tcBorders>
              <w:top w:val="single" w:sz="8" w:space="0" w:color="auto"/>
              <w:left w:val="single" w:sz="8" w:space="0" w:color="auto"/>
              <w:bottom w:val="nil"/>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Project</w:t>
            </w:r>
          </w:p>
        </w:tc>
        <w:tc>
          <w:tcPr>
            <w:tcW w:w="2212" w:type="dxa"/>
            <w:tcBorders>
              <w:top w:val="single" w:sz="8" w:space="0" w:color="auto"/>
              <w:left w:val="nil"/>
              <w:bottom w:val="nil"/>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Description</w:t>
            </w:r>
          </w:p>
        </w:tc>
        <w:tc>
          <w:tcPr>
            <w:tcW w:w="2214" w:type="dxa"/>
            <w:tcBorders>
              <w:top w:val="single" w:sz="8" w:space="0" w:color="auto"/>
              <w:left w:val="nil"/>
              <w:bottom w:val="nil"/>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Status</w:t>
            </w:r>
          </w:p>
        </w:tc>
        <w:tc>
          <w:tcPr>
            <w:tcW w:w="1010" w:type="dxa"/>
            <w:tcBorders>
              <w:top w:val="single" w:sz="8" w:space="0" w:color="auto"/>
              <w:left w:val="nil"/>
              <w:bottom w:val="nil"/>
              <w:right w:val="nil"/>
            </w:tcBorders>
            <w:hideMark/>
          </w:tcPr>
          <w:p w:rsidR="00292A94" w:rsidRDefault="00292A94" w:rsidP="00786B8A">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Initial Budget</w:t>
            </w:r>
          </w:p>
        </w:tc>
        <w:tc>
          <w:tcPr>
            <w:tcW w:w="1018" w:type="dxa"/>
            <w:tcBorders>
              <w:top w:val="single" w:sz="8" w:space="0" w:color="auto"/>
              <w:left w:val="single" w:sz="8" w:space="0" w:color="auto"/>
              <w:bottom w:val="nil"/>
              <w:right w:val="single" w:sz="4" w:space="0" w:color="auto"/>
            </w:tcBorders>
          </w:tcPr>
          <w:p w:rsidR="00292A94" w:rsidRDefault="00292A94" w:rsidP="003D3ADE">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Revised Forecast</w:t>
            </w:r>
          </w:p>
        </w:tc>
        <w:tc>
          <w:tcPr>
            <w:tcW w:w="1181" w:type="dxa"/>
            <w:tcBorders>
              <w:top w:val="single" w:sz="8" w:space="0" w:color="auto"/>
              <w:left w:val="single" w:sz="4" w:space="0" w:color="auto"/>
              <w:bottom w:val="nil"/>
              <w:right w:val="single" w:sz="8" w:space="0" w:color="auto"/>
            </w:tcBorders>
            <w:hideMark/>
          </w:tcPr>
          <w:p w:rsidR="00292A94" w:rsidRDefault="00D31224" w:rsidP="009475FA">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Spend to 3</w:t>
            </w:r>
            <w:r w:rsidR="009475FA">
              <w:rPr>
                <w:rFonts w:ascii="Calibri" w:eastAsia="Times New Roman" w:hAnsi="Calibri" w:cs="Calibri"/>
                <w:b/>
                <w:bCs/>
                <w:color w:val="000000"/>
                <w:lang w:eastAsia="en-GB"/>
              </w:rPr>
              <w:t>0</w:t>
            </w:r>
            <w:r>
              <w:rPr>
                <w:rFonts w:ascii="Calibri" w:eastAsia="Times New Roman" w:hAnsi="Calibri" w:cs="Calibri"/>
                <w:b/>
                <w:bCs/>
                <w:color w:val="000000"/>
                <w:lang w:eastAsia="en-GB"/>
              </w:rPr>
              <w:t xml:space="preserve"> </w:t>
            </w:r>
            <w:r w:rsidR="009475FA">
              <w:rPr>
                <w:rFonts w:ascii="Calibri" w:eastAsia="Times New Roman" w:hAnsi="Calibri" w:cs="Calibri"/>
                <w:b/>
                <w:bCs/>
                <w:color w:val="000000"/>
                <w:lang w:eastAsia="en-GB"/>
              </w:rPr>
              <w:t>November</w:t>
            </w:r>
            <w:r w:rsidR="00F252DC">
              <w:rPr>
                <w:rFonts w:ascii="Calibri" w:eastAsia="Times New Roman" w:hAnsi="Calibri" w:cs="Calibri"/>
                <w:b/>
                <w:bCs/>
                <w:color w:val="000000"/>
                <w:lang w:eastAsia="en-GB"/>
              </w:rPr>
              <w:t xml:space="preserve"> </w:t>
            </w:r>
            <w:r w:rsidR="002C7350">
              <w:rPr>
                <w:rFonts w:ascii="Calibri" w:eastAsia="Times New Roman" w:hAnsi="Calibri" w:cs="Calibri"/>
                <w:b/>
                <w:bCs/>
                <w:color w:val="000000"/>
                <w:lang w:eastAsia="en-GB"/>
              </w:rPr>
              <w:t>2019</w:t>
            </w:r>
          </w:p>
        </w:tc>
      </w:tr>
      <w:tr w:rsidR="007A28DB" w:rsidTr="0035115C">
        <w:trPr>
          <w:trHeight w:val="315"/>
          <w:jc w:val="center"/>
        </w:trPr>
        <w:tc>
          <w:tcPr>
            <w:tcW w:w="2229" w:type="dxa"/>
            <w:tcBorders>
              <w:top w:val="nil"/>
              <w:left w:val="single" w:sz="8" w:space="0" w:color="auto"/>
              <w:bottom w:val="single" w:sz="8" w:space="0" w:color="auto"/>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 </w:t>
            </w:r>
          </w:p>
        </w:tc>
        <w:tc>
          <w:tcPr>
            <w:tcW w:w="2212" w:type="dxa"/>
            <w:tcBorders>
              <w:top w:val="nil"/>
              <w:left w:val="nil"/>
              <w:bottom w:val="single" w:sz="8" w:space="0" w:color="auto"/>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 </w:t>
            </w:r>
          </w:p>
        </w:tc>
        <w:tc>
          <w:tcPr>
            <w:tcW w:w="2214" w:type="dxa"/>
            <w:tcBorders>
              <w:top w:val="nil"/>
              <w:left w:val="nil"/>
              <w:bottom w:val="single" w:sz="8" w:space="0" w:color="auto"/>
              <w:right w:val="single" w:sz="8" w:space="0" w:color="auto"/>
            </w:tcBorders>
            <w:hideMark/>
          </w:tcPr>
          <w:p w:rsidR="00292A94" w:rsidRDefault="00292A94" w:rsidP="00786B8A">
            <w:pPr>
              <w:rPr>
                <w:rFonts w:ascii="Calibri" w:eastAsia="Times New Roman" w:hAnsi="Calibri" w:cs="Calibri"/>
                <w:b/>
                <w:bCs/>
                <w:color w:val="000000"/>
                <w:lang w:eastAsia="en-GB"/>
              </w:rPr>
            </w:pPr>
            <w:r>
              <w:rPr>
                <w:rFonts w:ascii="Calibri" w:eastAsia="Times New Roman" w:hAnsi="Calibri" w:cs="Calibri"/>
                <w:b/>
                <w:bCs/>
                <w:color w:val="000000"/>
                <w:lang w:eastAsia="en-GB"/>
              </w:rPr>
              <w:t> </w:t>
            </w:r>
          </w:p>
        </w:tc>
        <w:tc>
          <w:tcPr>
            <w:tcW w:w="1010" w:type="dxa"/>
            <w:tcBorders>
              <w:top w:val="nil"/>
              <w:left w:val="nil"/>
              <w:bottom w:val="single" w:sz="8" w:space="0" w:color="auto"/>
              <w:right w:val="nil"/>
            </w:tcBorders>
            <w:hideMark/>
          </w:tcPr>
          <w:p w:rsidR="00292A94" w:rsidRDefault="008D0448" w:rsidP="00786B8A">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292A94">
              <w:rPr>
                <w:rFonts w:ascii="Calibri" w:eastAsia="Times New Roman" w:hAnsi="Calibri" w:cs="Calibri"/>
                <w:b/>
                <w:bCs/>
                <w:color w:val="000000"/>
                <w:lang w:eastAsia="en-GB"/>
              </w:rPr>
              <w:t>£’000</w:t>
            </w:r>
            <w:r>
              <w:rPr>
                <w:rFonts w:ascii="Calibri" w:eastAsia="Times New Roman" w:hAnsi="Calibri" w:cs="Calibri"/>
                <w:b/>
                <w:bCs/>
                <w:color w:val="000000"/>
                <w:lang w:eastAsia="en-GB"/>
              </w:rPr>
              <w:t>)</w:t>
            </w:r>
          </w:p>
        </w:tc>
        <w:tc>
          <w:tcPr>
            <w:tcW w:w="1018" w:type="dxa"/>
            <w:tcBorders>
              <w:top w:val="nil"/>
              <w:left w:val="single" w:sz="8" w:space="0" w:color="auto"/>
              <w:bottom w:val="single" w:sz="8" w:space="0" w:color="auto"/>
              <w:right w:val="single" w:sz="4" w:space="0" w:color="auto"/>
            </w:tcBorders>
          </w:tcPr>
          <w:p w:rsidR="00292A94" w:rsidRDefault="008D0448" w:rsidP="003D3ADE">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292A94">
              <w:rPr>
                <w:rFonts w:ascii="Calibri" w:eastAsia="Times New Roman" w:hAnsi="Calibri" w:cs="Calibri"/>
                <w:b/>
                <w:bCs/>
                <w:color w:val="000000"/>
                <w:lang w:eastAsia="en-GB"/>
              </w:rPr>
              <w:t>£’000</w:t>
            </w:r>
            <w:r>
              <w:rPr>
                <w:rFonts w:ascii="Calibri" w:eastAsia="Times New Roman" w:hAnsi="Calibri" w:cs="Calibri"/>
                <w:b/>
                <w:bCs/>
                <w:color w:val="000000"/>
                <w:lang w:eastAsia="en-GB"/>
              </w:rPr>
              <w:t>)</w:t>
            </w:r>
          </w:p>
        </w:tc>
        <w:tc>
          <w:tcPr>
            <w:tcW w:w="1181" w:type="dxa"/>
            <w:tcBorders>
              <w:top w:val="nil"/>
              <w:left w:val="single" w:sz="4" w:space="0" w:color="auto"/>
              <w:bottom w:val="single" w:sz="8" w:space="0" w:color="auto"/>
              <w:right w:val="single" w:sz="8" w:space="0" w:color="auto"/>
            </w:tcBorders>
            <w:hideMark/>
          </w:tcPr>
          <w:p w:rsidR="00292A94" w:rsidRDefault="008D0448" w:rsidP="003D3ADE">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292A94">
              <w:rPr>
                <w:rFonts w:ascii="Calibri" w:eastAsia="Times New Roman" w:hAnsi="Calibri" w:cs="Calibri"/>
                <w:b/>
                <w:bCs/>
                <w:color w:val="000000"/>
                <w:lang w:eastAsia="en-GB"/>
              </w:rPr>
              <w:t>£’000</w:t>
            </w:r>
            <w:r>
              <w:rPr>
                <w:rFonts w:ascii="Calibri" w:eastAsia="Times New Roman" w:hAnsi="Calibri" w:cs="Calibri"/>
                <w:b/>
                <w:bCs/>
                <w:color w:val="000000"/>
                <w:lang w:eastAsia="en-GB"/>
              </w:rPr>
              <w:t>)</w:t>
            </w:r>
          </w:p>
        </w:tc>
      </w:tr>
      <w:tr w:rsidR="007A28DB" w:rsidTr="0035115C">
        <w:trPr>
          <w:trHeight w:val="397"/>
          <w:jc w:val="center"/>
        </w:trPr>
        <w:tc>
          <w:tcPr>
            <w:tcW w:w="2229" w:type="dxa"/>
            <w:tcBorders>
              <w:top w:val="nil"/>
              <w:left w:val="single" w:sz="8" w:space="0" w:color="auto"/>
              <w:bottom w:val="single" w:sz="8" w:space="0" w:color="auto"/>
              <w:right w:val="single" w:sz="8" w:space="0" w:color="auto"/>
            </w:tcBorders>
            <w:vAlign w:val="center"/>
            <w:hideMark/>
          </w:tcPr>
          <w:p w:rsidR="00292A94" w:rsidRDefault="00292A94" w:rsidP="00516DFB">
            <w:pPr>
              <w:rPr>
                <w:rFonts w:ascii="Calibri" w:eastAsia="Times New Roman" w:hAnsi="Calibri" w:cs="Calibri"/>
                <w:b/>
                <w:bCs/>
                <w:color w:val="000000"/>
                <w:lang w:eastAsia="en-GB"/>
              </w:rPr>
            </w:pPr>
            <w:r>
              <w:rPr>
                <w:rFonts w:ascii="Calibri" w:eastAsia="Times New Roman" w:hAnsi="Calibri" w:cs="Calibri"/>
                <w:b/>
                <w:bCs/>
                <w:color w:val="000000"/>
                <w:lang w:eastAsia="en-GB"/>
              </w:rPr>
              <w:t>Multi-Campus</w:t>
            </w:r>
          </w:p>
        </w:tc>
        <w:tc>
          <w:tcPr>
            <w:tcW w:w="2212" w:type="dxa"/>
            <w:tcBorders>
              <w:top w:val="nil"/>
              <w:left w:val="nil"/>
              <w:bottom w:val="single" w:sz="8" w:space="0" w:color="auto"/>
              <w:right w:val="single" w:sz="8" w:space="0" w:color="auto"/>
            </w:tcBorders>
            <w:hideMark/>
          </w:tcPr>
          <w:p w:rsidR="00292A94" w:rsidRDefault="00292A94" w:rsidP="002C7350">
            <w:pPr>
              <w:ind w:firstLineChars="100" w:firstLine="220"/>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14" w:type="dxa"/>
            <w:tcBorders>
              <w:top w:val="nil"/>
              <w:left w:val="nil"/>
              <w:bottom w:val="single" w:sz="8" w:space="0" w:color="auto"/>
              <w:right w:val="single" w:sz="8" w:space="0" w:color="auto"/>
            </w:tcBorders>
            <w:hideMark/>
          </w:tcPr>
          <w:p w:rsidR="00292A94" w:rsidRDefault="00292A94" w:rsidP="002C7350">
            <w:pPr>
              <w:ind w:firstLineChars="100" w:firstLine="220"/>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010" w:type="dxa"/>
            <w:tcBorders>
              <w:top w:val="nil"/>
              <w:left w:val="nil"/>
              <w:bottom w:val="single" w:sz="8" w:space="0" w:color="auto"/>
              <w:right w:val="single" w:sz="8" w:space="0" w:color="auto"/>
            </w:tcBorders>
            <w:hideMark/>
          </w:tcPr>
          <w:p w:rsidR="00292A94" w:rsidRDefault="00292A94" w:rsidP="000C0B4E">
            <w:pPr>
              <w:ind w:firstLineChars="100" w:firstLine="221"/>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 </w:t>
            </w:r>
          </w:p>
        </w:tc>
        <w:tc>
          <w:tcPr>
            <w:tcW w:w="1018" w:type="dxa"/>
            <w:tcBorders>
              <w:top w:val="nil"/>
              <w:left w:val="nil"/>
              <w:bottom w:val="single" w:sz="8" w:space="0" w:color="auto"/>
              <w:right w:val="single" w:sz="4" w:space="0" w:color="auto"/>
            </w:tcBorders>
          </w:tcPr>
          <w:p w:rsidR="00292A94" w:rsidRDefault="00292A94" w:rsidP="002C7350">
            <w:pPr>
              <w:ind w:firstLineChars="100" w:firstLine="220"/>
              <w:jc w:val="right"/>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181" w:type="dxa"/>
            <w:tcBorders>
              <w:top w:val="nil"/>
              <w:left w:val="single" w:sz="4" w:space="0" w:color="auto"/>
              <w:bottom w:val="single" w:sz="8" w:space="0" w:color="auto"/>
              <w:right w:val="single" w:sz="8" w:space="0" w:color="auto"/>
            </w:tcBorders>
            <w:hideMark/>
          </w:tcPr>
          <w:p w:rsidR="00292A94" w:rsidRDefault="00292A94" w:rsidP="000C0B4E">
            <w:pPr>
              <w:ind w:firstLineChars="100" w:firstLine="221"/>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 </w:t>
            </w:r>
          </w:p>
        </w:tc>
      </w:tr>
      <w:tr w:rsidR="007A28DB" w:rsidTr="0035115C">
        <w:trPr>
          <w:trHeight w:val="915"/>
          <w:jc w:val="center"/>
        </w:trPr>
        <w:tc>
          <w:tcPr>
            <w:tcW w:w="2229" w:type="dxa"/>
            <w:tcBorders>
              <w:top w:val="nil"/>
              <w:left w:val="single" w:sz="8" w:space="0" w:color="auto"/>
              <w:bottom w:val="nil"/>
              <w:right w:val="single" w:sz="8" w:space="0" w:color="auto"/>
            </w:tcBorders>
            <w:vAlign w:val="center"/>
            <w:hideMark/>
          </w:tcPr>
          <w:p w:rsidR="00292A94" w:rsidRDefault="00292A94" w:rsidP="00516DFB">
            <w:pPr>
              <w:rPr>
                <w:rFonts w:ascii="Calibri" w:eastAsia="Times New Roman" w:hAnsi="Calibri" w:cs="Calibri"/>
                <w:color w:val="000000"/>
                <w:lang w:eastAsia="en-GB"/>
              </w:rPr>
            </w:pPr>
            <w:r>
              <w:rPr>
                <w:rFonts w:ascii="Calibri" w:eastAsia="Times New Roman" w:hAnsi="Calibri" w:cs="Calibri"/>
                <w:color w:val="000000"/>
                <w:lang w:eastAsia="en-GB"/>
              </w:rPr>
              <w:t>Building Management System</w:t>
            </w:r>
          </w:p>
        </w:tc>
        <w:tc>
          <w:tcPr>
            <w:tcW w:w="2212" w:type="dxa"/>
            <w:tcBorders>
              <w:top w:val="nil"/>
              <w:left w:val="nil"/>
              <w:bottom w:val="single" w:sz="8" w:space="0" w:color="auto"/>
              <w:right w:val="single" w:sz="8" w:space="0" w:color="auto"/>
            </w:tcBorders>
            <w:vAlign w:val="center"/>
            <w:hideMark/>
          </w:tcPr>
          <w:p w:rsidR="00292A94" w:rsidRDefault="00F252DC" w:rsidP="00516DFB">
            <w:pPr>
              <w:rPr>
                <w:rFonts w:ascii="Calibri" w:eastAsia="Times New Roman" w:hAnsi="Calibri" w:cs="Calibri"/>
                <w:color w:val="000000"/>
                <w:lang w:eastAsia="en-GB"/>
              </w:rPr>
            </w:pPr>
            <w:r>
              <w:rPr>
                <w:rFonts w:ascii="Calibri" w:eastAsia="Times New Roman" w:hAnsi="Calibri" w:cs="Calibri"/>
                <w:color w:val="000000"/>
                <w:lang w:eastAsia="en-GB"/>
              </w:rPr>
              <w:t>Some additional connections to the BMS system required</w:t>
            </w:r>
          </w:p>
        </w:tc>
        <w:tc>
          <w:tcPr>
            <w:tcW w:w="2214" w:type="dxa"/>
            <w:tcBorders>
              <w:top w:val="nil"/>
              <w:left w:val="nil"/>
              <w:bottom w:val="nil"/>
              <w:right w:val="single" w:sz="8" w:space="0" w:color="auto"/>
            </w:tcBorders>
            <w:hideMark/>
          </w:tcPr>
          <w:p w:rsidR="00292A94" w:rsidRDefault="00675948" w:rsidP="002C7350">
            <w:pPr>
              <w:rPr>
                <w:rFonts w:ascii="Calibri" w:eastAsia="Times New Roman" w:hAnsi="Calibri" w:cs="Calibri"/>
                <w:color w:val="000000"/>
                <w:lang w:eastAsia="en-GB"/>
              </w:rPr>
            </w:pPr>
            <w:r>
              <w:rPr>
                <w:rFonts w:ascii="Calibri" w:eastAsia="Times New Roman" w:hAnsi="Calibri" w:cs="Calibri"/>
                <w:color w:val="000000"/>
                <w:lang w:eastAsia="en-GB"/>
              </w:rPr>
              <w:t>Project complete – minor configuration issues to be addressed and retention still due</w:t>
            </w:r>
          </w:p>
        </w:tc>
        <w:tc>
          <w:tcPr>
            <w:tcW w:w="1010" w:type="dxa"/>
            <w:tcBorders>
              <w:top w:val="nil"/>
              <w:left w:val="nil"/>
              <w:bottom w:val="nil"/>
              <w:right w:val="single" w:sz="8" w:space="0" w:color="auto"/>
            </w:tcBorders>
            <w:vAlign w:val="center"/>
            <w:hideMark/>
          </w:tcPr>
          <w:p w:rsidR="00292A94" w:rsidRPr="00292A94" w:rsidRDefault="00F252D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40</w:t>
            </w:r>
          </w:p>
        </w:tc>
        <w:tc>
          <w:tcPr>
            <w:tcW w:w="1018" w:type="dxa"/>
            <w:tcBorders>
              <w:top w:val="nil"/>
              <w:left w:val="nil"/>
              <w:bottom w:val="nil"/>
              <w:right w:val="single" w:sz="4" w:space="0" w:color="auto"/>
            </w:tcBorders>
            <w:vAlign w:val="center"/>
          </w:tcPr>
          <w:p w:rsidR="00292A94" w:rsidRPr="009201D5"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40</w:t>
            </w:r>
          </w:p>
        </w:tc>
        <w:tc>
          <w:tcPr>
            <w:tcW w:w="1181" w:type="dxa"/>
            <w:tcBorders>
              <w:top w:val="nil"/>
              <w:left w:val="single" w:sz="4" w:space="0" w:color="auto"/>
              <w:bottom w:val="nil"/>
              <w:right w:val="single" w:sz="8" w:space="0" w:color="auto"/>
            </w:tcBorders>
            <w:vAlign w:val="center"/>
          </w:tcPr>
          <w:p w:rsidR="00292A94" w:rsidRPr="009201D5"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25</w:t>
            </w:r>
          </w:p>
        </w:tc>
      </w:tr>
      <w:tr w:rsidR="007A28DB"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vAlign w:val="center"/>
          </w:tcPr>
          <w:p w:rsidR="00F252DC" w:rsidRDefault="00F252DC" w:rsidP="00516DFB">
            <w:pPr>
              <w:rPr>
                <w:rFonts w:ascii="Calibri" w:eastAsia="Times New Roman" w:hAnsi="Calibri" w:cs="Calibri"/>
                <w:color w:val="000000"/>
                <w:lang w:eastAsia="en-GB"/>
              </w:rPr>
            </w:pPr>
            <w:r>
              <w:rPr>
                <w:rFonts w:ascii="Calibri" w:eastAsia="Times New Roman" w:hAnsi="Calibri" w:cs="Calibri"/>
                <w:color w:val="000000"/>
                <w:lang w:eastAsia="en-GB"/>
              </w:rPr>
              <w:t>Replacement carpets/flooring</w:t>
            </w:r>
          </w:p>
        </w:tc>
        <w:tc>
          <w:tcPr>
            <w:tcW w:w="2212" w:type="dxa"/>
            <w:tcBorders>
              <w:top w:val="nil"/>
              <w:left w:val="nil"/>
              <w:bottom w:val="single" w:sz="8" w:space="0" w:color="auto"/>
              <w:right w:val="single" w:sz="8" w:space="0" w:color="auto"/>
            </w:tcBorders>
            <w:vAlign w:val="center"/>
          </w:tcPr>
          <w:p w:rsidR="00F252DC" w:rsidRDefault="00F252DC" w:rsidP="00516DFB">
            <w:pPr>
              <w:rPr>
                <w:rFonts w:ascii="Calibri" w:eastAsia="Times New Roman" w:hAnsi="Calibri" w:cs="Calibri"/>
                <w:color w:val="000000"/>
                <w:lang w:eastAsia="en-GB"/>
              </w:rPr>
            </w:pPr>
          </w:p>
        </w:tc>
        <w:tc>
          <w:tcPr>
            <w:tcW w:w="2214" w:type="dxa"/>
            <w:tcBorders>
              <w:top w:val="single" w:sz="8" w:space="0" w:color="auto"/>
              <w:left w:val="nil"/>
              <w:bottom w:val="nil"/>
              <w:right w:val="single" w:sz="8" w:space="0" w:color="auto"/>
            </w:tcBorders>
          </w:tcPr>
          <w:p w:rsidR="00F252DC" w:rsidRDefault="00A44F57" w:rsidP="002C7350">
            <w:pPr>
              <w:rPr>
                <w:rFonts w:ascii="Calibri" w:eastAsia="Times New Roman" w:hAnsi="Calibri" w:cs="Calibri"/>
                <w:color w:val="000000"/>
                <w:lang w:eastAsia="en-GB"/>
              </w:rPr>
            </w:pPr>
            <w:r>
              <w:rPr>
                <w:rFonts w:ascii="Calibri" w:eastAsia="Times New Roman" w:hAnsi="Calibri" w:cs="Calibri"/>
                <w:color w:val="000000"/>
                <w:lang w:eastAsia="en-GB"/>
              </w:rPr>
              <w:t>Orders placed for work in October break.</w:t>
            </w:r>
          </w:p>
        </w:tc>
        <w:tc>
          <w:tcPr>
            <w:tcW w:w="1010" w:type="dxa"/>
            <w:tcBorders>
              <w:top w:val="single" w:sz="8" w:space="0" w:color="auto"/>
              <w:left w:val="nil"/>
              <w:bottom w:val="nil"/>
              <w:right w:val="single" w:sz="8" w:space="0" w:color="auto"/>
            </w:tcBorders>
            <w:vAlign w:val="center"/>
          </w:tcPr>
          <w:p w:rsidR="00F252DC" w:rsidRPr="00292A94" w:rsidRDefault="00F252D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60</w:t>
            </w:r>
          </w:p>
        </w:tc>
        <w:tc>
          <w:tcPr>
            <w:tcW w:w="1018" w:type="dxa"/>
            <w:tcBorders>
              <w:top w:val="single" w:sz="8" w:space="0" w:color="auto"/>
              <w:left w:val="nil"/>
              <w:bottom w:val="nil"/>
              <w:right w:val="single" w:sz="4" w:space="0" w:color="auto"/>
            </w:tcBorders>
            <w:vAlign w:val="center"/>
          </w:tcPr>
          <w:p w:rsidR="00F252DC" w:rsidRPr="009201D5"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60</w:t>
            </w:r>
          </w:p>
        </w:tc>
        <w:tc>
          <w:tcPr>
            <w:tcW w:w="1181" w:type="dxa"/>
            <w:tcBorders>
              <w:top w:val="single" w:sz="8" w:space="0" w:color="auto"/>
              <w:left w:val="single" w:sz="4" w:space="0" w:color="auto"/>
              <w:bottom w:val="nil"/>
              <w:right w:val="single" w:sz="8" w:space="0" w:color="auto"/>
            </w:tcBorders>
            <w:vAlign w:val="center"/>
          </w:tcPr>
          <w:p w:rsidR="00F252DC" w:rsidRPr="009201D5"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21</w:t>
            </w:r>
          </w:p>
        </w:tc>
      </w:tr>
      <w:tr w:rsidR="007A28DB"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vAlign w:val="center"/>
            <w:hideMark/>
          </w:tcPr>
          <w:p w:rsidR="00292A94" w:rsidRDefault="00292A94" w:rsidP="00516DFB">
            <w:pPr>
              <w:rPr>
                <w:rFonts w:ascii="Calibri" w:eastAsia="Times New Roman" w:hAnsi="Calibri" w:cs="Calibri"/>
                <w:color w:val="000000"/>
                <w:lang w:eastAsia="en-GB"/>
              </w:rPr>
            </w:pPr>
            <w:r>
              <w:rPr>
                <w:rFonts w:ascii="Calibri" w:eastAsia="Times New Roman" w:hAnsi="Calibri" w:cs="Calibri"/>
                <w:color w:val="000000"/>
                <w:lang w:eastAsia="en-GB"/>
              </w:rPr>
              <w:t>Redecoration - internal</w:t>
            </w:r>
          </w:p>
        </w:tc>
        <w:tc>
          <w:tcPr>
            <w:tcW w:w="2212" w:type="dxa"/>
            <w:tcBorders>
              <w:top w:val="nil"/>
              <w:left w:val="nil"/>
              <w:bottom w:val="single" w:sz="8" w:space="0" w:color="auto"/>
              <w:right w:val="single" w:sz="8" w:space="0" w:color="auto"/>
            </w:tcBorders>
            <w:vAlign w:val="center"/>
            <w:hideMark/>
          </w:tcPr>
          <w:p w:rsidR="00292A94" w:rsidRDefault="00292A94" w:rsidP="00516DFB">
            <w:pPr>
              <w:rPr>
                <w:rFonts w:ascii="Calibri" w:eastAsia="Times New Roman" w:hAnsi="Calibri" w:cs="Calibri"/>
                <w:color w:val="000000"/>
                <w:lang w:eastAsia="en-GB"/>
              </w:rPr>
            </w:pPr>
            <w:r>
              <w:rPr>
                <w:rFonts w:ascii="Calibri" w:eastAsia="Times New Roman" w:hAnsi="Calibri" w:cs="Calibri"/>
                <w:color w:val="000000"/>
                <w:lang w:eastAsia="en-GB"/>
              </w:rPr>
              <w:t>Building maintenance</w:t>
            </w:r>
          </w:p>
        </w:tc>
        <w:tc>
          <w:tcPr>
            <w:tcW w:w="2214" w:type="dxa"/>
            <w:tcBorders>
              <w:top w:val="single" w:sz="8" w:space="0" w:color="auto"/>
              <w:left w:val="nil"/>
              <w:bottom w:val="nil"/>
              <w:right w:val="single" w:sz="8" w:space="0" w:color="auto"/>
            </w:tcBorders>
            <w:hideMark/>
          </w:tcPr>
          <w:p w:rsidR="00292A94" w:rsidRDefault="00A44F57" w:rsidP="002C7350">
            <w:pPr>
              <w:rPr>
                <w:rFonts w:ascii="Calibri" w:eastAsia="Times New Roman" w:hAnsi="Calibri" w:cs="Calibri"/>
                <w:color w:val="000000"/>
                <w:lang w:eastAsia="en-GB"/>
              </w:rPr>
            </w:pPr>
            <w:r>
              <w:rPr>
                <w:rFonts w:ascii="Calibri" w:eastAsia="Times New Roman" w:hAnsi="Calibri" w:cs="Calibri"/>
                <w:color w:val="000000"/>
                <w:lang w:eastAsia="en-GB"/>
              </w:rPr>
              <w:t>Orders placed for work in October break.</w:t>
            </w:r>
          </w:p>
        </w:tc>
        <w:tc>
          <w:tcPr>
            <w:tcW w:w="1010" w:type="dxa"/>
            <w:tcBorders>
              <w:top w:val="single" w:sz="8" w:space="0" w:color="auto"/>
              <w:left w:val="nil"/>
              <w:bottom w:val="nil"/>
              <w:right w:val="single" w:sz="8" w:space="0" w:color="auto"/>
            </w:tcBorders>
            <w:vAlign w:val="center"/>
            <w:hideMark/>
          </w:tcPr>
          <w:p w:rsidR="00292A94" w:rsidRPr="00292A94" w:rsidRDefault="00F252D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60</w:t>
            </w:r>
          </w:p>
        </w:tc>
        <w:tc>
          <w:tcPr>
            <w:tcW w:w="1018" w:type="dxa"/>
            <w:tcBorders>
              <w:top w:val="single" w:sz="8" w:space="0" w:color="auto"/>
              <w:left w:val="nil"/>
              <w:bottom w:val="nil"/>
              <w:right w:val="single" w:sz="4" w:space="0" w:color="auto"/>
            </w:tcBorders>
            <w:vAlign w:val="center"/>
          </w:tcPr>
          <w:p w:rsidR="00292A94" w:rsidRPr="009201D5"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60</w:t>
            </w:r>
          </w:p>
        </w:tc>
        <w:tc>
          <w:tcPr>
            <w:tcW w:w="1181" w:type="dxa"/>
            <w:tcBorders>
              <w:top w:val="single" w:sz="8" w:space="0" w:color="auto"/>
              <w:left w:val="single" w:sz="4" w:space="0" w:color="auto"/>
              <w:bottom w:val="nil"/>
              <w:right w:val="single" w:sz="8" w:space="0" w:color="auto"/>
            </w:tcBorders>
            <w:vAlign w:val="center"/>
          </w:tcPr>
          <w:p w:rsidR="00292A94" w:rsidRPr="009201D5"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19</w:t>
            </w:r>
          </w:p>
        </w:tc>
      </w:tr>
      <w:tr w:rsidR="007A28DB"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vAlign w:val="center"/>
          </w:tcPr>
          <w:p w:rsidR="00F252DC" w:rsidRDefault="00F252DC" w:rsidP="00516DFB">
            <w:pPr>
              <w:rPr>
                <w:rFonts w:ascii="Calibri" w:eastAsia="Times New Roman" w:hAnsi="Calibri" w:cs="Calibri"/>
                <w:color w:val="000000"/>
                <w:lang w:eastAsia="en-GB"/>
              </w:rPr>
            </w:pPr>
            <w:r>
              <w:rPr>
                <w:rFonts w:ascii="Calibri" w:eastAsia="Times New Roman" w:hAnsi="Calibri" w:cs="Calibri"/>
                <w:color w:val="000000"/>
                <w:lang w:eastAsia="en-GB"/>
              </w:rPr>
              <w:t>Health &amp; Safety items</w:t>
            </w:r>
          </w:p>
        </w:tc>
        <w:tc>
          <w:tcPr>
            <w:tcW w:w="2212" w:type="dxa"/>
            <w:tcBorders>
              <w:top w:val="nil"/>
              <w:left w:val="nil"/>
              <w:bottom w:val="single" w:sz="8" w:space="0" w:color="auto"/>
              <w:right w:val="single" w:sz="8" w:space="0" w:color="auto"/>
            </w:tcBorders>
            <w:vAlign w:val="center"/>
          </w:tcPr>
          <w:p w:rsidR="00F252DC" w:rsidRDefault="00F252DC" w:rsidP="00516DFB">
            <w:pPr>
              <w:rPr>
                <w:rFonts w:ascii="Calibri" w:eastAsia="Times New Roman" w:hAnsi="Calibri" w:cs="Calibri"/>
                <w:color w:val="000000"/>
                <w:lang w:eastAsia="en-GB"/>
              </w:rPr>
            </w:pPr>
          </w:p>
        </w:tc>
        <w:tc>
          <w:tcPr>
            <w:tcW w:w="2214" w:type="dxa"/>
            <w:tcBorders>
              <w:top w:val="single" w:sz="8" w:space="0" w:color="auto"/>
              <w:left w:val="nil"/>
              <w:bottom w:val="nil"/>
              <w:right w:val="single" w:sz="8" w:space="0" w:color="auto"/>
            </w:tcBorders>
          </w:tcPr>
          <w:p w:rsidR="00F252DC" w:rsidRDefault="00A44F57" w:rsidP="002C7350">
            <w:pPr>
              <w:rPr>
                <w:rFonts w:ascii="Calibri" w:eastAsia="Times New Roman" w:hAnsi="Calibri" w:cs="Calibri"/>
                <w:color w:val="000000"/>
                <w:lang w:eastAsia="en-GB"/>
              </w:rPr>
            </w:pPr>
            <w:r>
              <w:rPr>
                <w:rFonts w:ascii="Calibri" w:eastAsia="Times New Roman" w:hAnsi="Calibri" w:cs="Calibri"/>
                <w:color w:val="000000"/>
                <w:lang w:eastAsia="en-GB"/>
              </w:rPr>
              <w:t>Completed</w:t>
            </w:r>
          </w:p>
        </w:tc>
        <w:tc>
          <w:tcPr>
            <w:tcW w:w="1010" w:type="dxa"/>
            <w:tcBorders>
              <w:top w:val="single" w:sz="8" w:space="0" w:color="auto"/>
              <w:left w:val="nil"/>
              <w:bottom w:val="nil"/>
              <w:right w:val="single" w:sz="8" w:space="0" w:color="auto"/>
            </w:tcBorders>
            <w:vAlign w:val="center"/>
          </w:tcPr>
          <w:p w:rsidR="00F252DC" w:rsidRDefault="00F252D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30</w:t>
            </w:r>
          </w:p>
        </w:tc>
        <w:tc>
          <w:tcPr>
            <w:tcW w:w="1018" w:type="dxa"/>
            <w:tcBorders>
              <w:top w:val="single" w:sz="8" w:space="0" w:color="auto"/>
              <w:left w:val="nil"/>
              <w:bottom w:val="nil"/>
              <w:right w:val="single" w:sz="4" w:space="0" w:color="auto"/>
            </w:tcBorders>
            <w:vAlign w:val="center"/>
          </w:tcPr>
          <w:p w:rsidR="00F252DC"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45</w:t>
            </w:r>
          </w:p>
        </w:tc>
        <w:tc>
          <w:tcPr>
            <w:tcW w:w="1181" w:type="dxa"/>
            <w:tcBorders>
              <w:top w:val="single" w:sz="8" w:space="0" w:color="auto"/>
              <w:left w:val="single" w:sz="4" w:space="0" w:color="auto"/>
              <w:bottom w:val="nil"/>
              <w:right w:val="single" w:sz="8" w:space="0" w:color="auto"/>
            </w:tcBorders>
            <w:vAlign w:val="center"/>
          </w:tcPr>
          <w:p w:rsidR="00F252DC"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30</w:t>
            </w:r>
          </w:p>
        </w:tc>
      </w:tr>
      <w:tr w:rsidR="007A28DB"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vAlign w:val="center"/>
          </w:tcPr>
          <w:p w:rsidR="00F252DC" w:rsidRPr="00675948" w:rsidRDefault="00675948" w:rsidP="00516DFB">
            <w:pPr>
              <w:rPr>
                <w:rFonts w:ascii="Calibri" w:eastAsia="Times New Roman" w:hAnsi="Calibri" w:cs="Calibri"/>
                <w:color w:val="000000"/>
                <w:lang w:eastAsia="en-GB"/>
              </w:rPr>
            </w:pPr>
            <w:r w:rsidRPr="00675948">
              <w:rPr>
                <w:rFonts w:ascii="Calibri" w:eastAsia="Times New Roman" w:hAnsi="Calibri" w:cs="Calibri"/>
                <w:color w:val="000000"/>
                <w:lang w:eastAsia="en-GB"/>
              </w:rPr>
              <w:t>Replacement Equipment</w:t>
            </w:r>
          </w:p>
        </w:tc>
        <w:tc>
          <w:tcPr>
            <w:tcW w:w="2212" w:type="dxa"/>
            <w:tcBorders>
              <w:top w:val="nil"/>
              <w:left w:val="nil"/>
              <w:bottom w:val="single" w:sz="8" w:space="0" w:color="auto"/>
              <w:right w:val="single" w:sz="8" w:space="0" w:color="auto"/>
            </w:tcBorders>
            <w:vAlign w:val="center"/>
          </w:tcPr>
          <w:p w:rsidR="00F252DC" w:rsidRPr="00675948" w:rsidRDefault="00F252DC" w:rsidP="00516DFB">
            <w:pPr>
              <w:rPr>
                <w:rFonts w:ascii="Calibri" w:eastAsia="Times New Roman" w:hAnsi="Calibri" w:cs="Calibri"/>
                <w:color w:val="000000"/>
                <w:lang w:eastAsia="en-GB"/>
              </w:rPr>
            </w:pPr>
          </w:p>
        </w:tc>
        <w:tc>
          <w:tcPr>
            <w:tcW w:w="2214" w:type="dxa"/>
            <w:tcBorders>
              <w:top w:val="single" w:sz="8" w:space="0" w:color="auto"/>
              <w:left w:val="nil"/>
              <w:bottom w:val="nil"/>
              <w:right w:val="single" w:sz="8" w:space="0" w:color="auto"/>
            </w:tcBorders>
            <w:vAlign w:val="center"/>
          </w:tcPr>
          <w:p w:rsidR="00F252DC" w:rsidRPr="00675948" w:rsidRDefault="00675948" w:rsidP="00675948">
            <w:pPr>
              <w:rPr>
                <w:rFonts w:ascii="Calibri" w:eastAsia="Times New Roman" w:hAnsi="Calibri" w:cs="Calibri"/>
                <w:color w:val="000000"/>
                <w:lang w:eastAsia="en-GB"/>
              </w:rPr>
            </w:pPr>
            <w:r w:rsidRPr="00675948">
              <w:rPr>
                <w:rFonts w:ascii="Calibri" w:eastAsia="Times New Roman" w:hAnsi="Calibri" w:cs="Calibri"/>
                <w:color w:val="000000"/>
                <w:lang w:eastAsia="en-GB"/>
              </w:rPr>
              <w:t>Orders placed</w:t>
            </w:r>
          </w:p>
        </w:tc>
        <w:tc>
          <w:tcPr>
            <w:tcW w:w="1010" w:type="dxa"/>
            <w:tcBorders>
              <w:top w:val="single" w:sz="8" w:space="0" w:color="auto"/>
              <w:left w:val="nil"/>
              <w:bottom w:val="nil"/>
              <w:right w:val="single" w:sz="8" w:space="0" w:color="auto"/>
            </w:tcBorders>
            <w:vAlign w:val="center"/>
          </w:tcPr>
          <w:p w:rsidR="00F252DC" w:rsidRPr="00675948" w:rsidRDefault="00F252DC" w:rsidP="00516DFB">
            <w:pPr>
              <w:ind w:firstLineChars="100" w:firstLine="220"/>
              <w:jc w:val="right"/>
              <w:rPr>
                <w:rFonts w:ascii="Calibri" w:eastAsia="Times New Roman" w:hAnsi="Calibri" w:cs="Calibri"/>
                <w:bCs/>
                <w:color w:val="000000"/>
                <w:lang w:eastAsia="en-GB"/>
              </w:rPr>
            </w:pPr>
            <w:r w:rsidRPr="00675948">
              <w:rPr>
                <w:rFonts w:ascii="Calibri" w:eastAsia="Times New Roman" w:hAnsi="Calibri" w:cs="Calibri"/>
                <w:bCs/>
                <w:color w:val="000000"/>
                <w:lang w:eastAsia="en-GB"/>
              </w:rPr>
              <w:t>30</w:t>
            </w:r>
          </w:p>
        </w:tc>
        <w:tc>
          <w:tcPr>
            <w:tcW w:w="1018" w:type="dxa"/>
            <w:tcBorders>
              <w:top w:val="single" w:sz="8" w:space="0" w:color="auto"/>
              <w:left w:val="nil"/>
              <w:bottom w:val="nil"/>
              <w:right w:val="single" w:sz="4" w:space="0" w:color="auto"/>
            </w:tcBorders>
            <w:vAlign w:val="center"/>
          </w:tcPr>
          <w:p w:rsidR="00F252DC" w:rsidRPr="00675948" w:rsidRDefault="00A44F57" w:rsidP="00516DFB">
            <w:pPr>
              <w:ind w:firstLineChars="100" w:firstLine="220"/>
              <w:jc w:val="right"/>
              <w:rPr>
                <w:rFonts w:ascii="Calibri" w:eastAsia="Times New Roman" w:hAnsi="Calibri" w:cs="Calibri"/>
                <w:bCs/>
                <w:color w:val="000000"/>
                <w:lang w:eastAsia="en-GB"/>
              </w:rPr>
            </w:pPr>
            <w:r w:rsidRPr="00675948">
              <w:rPr>
                <w:rFonts w:ascii="Calibri" w:eastAsia="Times New Roman" w:hAnsi="Calibri" w:cs="Calibri"/>
                <w:bCs/>
                <w:color w:val="000000"/>
                <w:lang w:eastAsia="en-GB"/>
              </w:rPr>
              <w:t>30</w:t>
            </w:r>
          </w:p>
        </w:tc>
        <w:tc>
          <w:tcPr>
            <w:tcW w:w="1181" w:type="dxa"/>
            <w:tcBorders>
              <w:top w:val="single" w:sz="8" w:space="0" w:color="auto"/>
              <w:left w:val="single" w:sz="4" w:space="0" w:color="auto"/>
              <w:bottom w:val="nil"/>
              <w:right w:val="single" w:sz="8" w:space="0" w:color="auto"/>
            </w:tcBorders>
            <w:vAlign w:val="center"/>
          </w:tcPr>
          <w:p w:rsidR="00F252DC" w:rsidRPr="00675948" w:rsidRDefault="00A44F57" w:rsidP="00516DFB">
            <w:pPr>
              <w:ind w:firstLineChars="100" w:firstLine="220"/>
              <w:jc w:val="right"/>
              <w:rPr>
                <w:rFonts w:ascii="Calibri" w:eastAsia="Times New Roman" w:hAnsi="Calibri" w:cs="Calibri"/>
                <w:bCs/>
                <w:color w:val="000000"/>
                <w:lang w:eastAsia="en-GB"/>
              </w:rPr>
            </w:pPr>
            <w:r w:rsidRPr="00675948">
              <w:rPr>
                <w:rFonts w:ascii="Calibri" w:eastAsia="Times New Roman" w:hAnsi="Calibri" w:cs="Calibri"/>
                <w:bCs/>
                <w:color w:val="000000"/>
                <w:lang w:eastAsia="en-GB"/>
              </w:rPr>
              <w:t>0</w:t>
            </w:r>
          </w:p>
        </w:tc>
      </w:tr>
      <w:tr w:rsidR="00675948"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tcPr>
          <w:p w:rsidR="00675948" w:rsidRDefault="00675948" w:rsidP="002C7350">
            <w:pPr>
              <w:rPr>
                <w:rFonts w:ascii="Calibri" w:eastAsia="Times New Roman" w:hAnsi="Calibri" w:cs="Calibri"/>
                <w:color w:val="000000"/>
                <w:lang w:eastAsia="en-GB"/>
              </w:rPr>
            </w:pPr>
            <w:r>
              <w:rPr>
                <w:rFonts w:ascii="Calibri" w:eastAsia="Times New Roman" w:hAnsi="Calibri" w:cs="Calibri"/>
                <w:color w:val="000000"/>
                <w:lang w:eastAsia="en-GB"/>
              </w:rPr>
              <w:t>Grounds maintenance</w:t>
            </w:r>
          </w:p>
        </w:tc>
        <w:tc>
          <w:tcPr>
            <w:tcW w:w="2212" w:type="dxa"/>
            <w:tcBorders>
              <w:top w:val="nil"/>
              <w:left w:val="nil"/>
              <w:bottom w:val="single" w:sz="8" w:space="0" w:color="auto"/>
              <w:right w:val="single" w:sz="8" w:space="0" w:color="auto"/>
            </w:tcBorders>
          </w:tcPr>
          <w:p w:rsidR="00675948" w:rsidRDefault="00675948" w:rsidP="002C7350">
            <w:pPr>
              <w:rPr>
                <w:rFonts w:ascii="Calibri" w:eastAsia="Times New Roman" w:hAnsi="Calibri" w:cs="Calibri"/>
                <w:color w:val="000000"/>
                <w:lang w:eastAsia="en-GB"/>
              </w:rPr>
            </w:pPr>
          </w:p>
        </w:tc>
        <w:tc>
          <w:tcPr>
            <w:tcW w:w="2214" w:type="dxa"/>
            <w:tcBorders>
              <w:top w:val="single" w:sz="8" w:space="0" w:color="auto"/>
              <w:left w:val="nil"/>
              <w:bottom w:val="nil"/>
              <w:right w:val="single" w:sz="8" w:space="0" w:color="auto"/>
            </w:tcBorders>
          </w:tcPr>
          <w:p w:rsidR="00675948" w:rsidRDefault="00675948" w:rsidP="002C7350">
            <w:pPr>
              <w:rPr>
                <w:rFonts w:ascii="Calibri" w:eastAsia="Times New Roman" w:hAnsi="Calibri" w:cs="Calibri"/>
                <w:color w:val="000000"/>
                <w:lang w:eastAsia="en-GB"/>
              </w:rPr>
            </w:pPr>
            <w:r>
              <w:rPr>
                <w:rFonts w:ascii="Calibri" w:eastAsia="Times New Roman" w:hAnsi="Calibri" w:cs="Calibri"/>
                <w:color w:val="000000"/>
                <w:lang w:eastAsia="en-GB"/>
              </w:rPr>
              <w:t>Completed</w:t>
            </w:r>
          </w:p>
        </w:tc>
        <w:tc>
          <w:tcPr>
            <w:tcW w:w="1010" w:type="dxa"/>
            <w:tcBorders>
              <w:top w:val="single" w:sz="8" w:space="0" w:color="auto"/>
              <w:left w:val="nil"/>
              <w:bottom w:val="nil"/>
              <w:right w:val="single" w:sz="8" w:space="0" w:color="auto"/>
            </w:tcBorders>
            <w:vAlign w:val="center"/>
          </w:tcPr>
          <w:p w:rsidR="00675948" w:rsidRDefault="0035115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w:t>
            </w:r>
            <w:r w:rsidR="00675948">
              <w:rPr>
                <w:rFonts w:ascii="Calibri" w:eastAsia="Times New Roman" w:hAnsi="Calibri" w:cs="Calibri"/>
                <w:bCs/>
                <w:color w:val="000000"/>
                <w:lang w:eastAsia="en-GB"/>
              </w:rPr>
              <w:t>0</w:t>
            </w:r>
          </w:p>
        </w:tc>
        <w:tc>
          <w:tcPr>
            <w:tcW w:w="1018" w:type="dxa"/>
            <w:tcBorders>
              <w:top w:val="single" w:sz="8" w:space="0" w:color="auto"/>
              <w:left w:val="nil"/>
              <w:bottom w:val="nil"/>
              <w:right w:val="single" w:sz="4" w:space="0" w:color="auto"/>
            </w:tcBorders>
            <w:vAlign w:val="center"/>
          </w:tcPr>
          <w:p w:rsidR="00675948"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16</w:t>
            </w:r>
          </w:p>
        </w:tc>
        <w:tc>
          <w:tcPr>
            <w:tcW w:w="1181" w:type="dxa"/>
            <w:tcBorders>
              <w:top w:val="single" w:sz="8" w:space="0" w:color="auto"/>
              <w:left w:val="single" w:sz="4" w:space="0" w:color="auto"/>
              <w:bottom w:val="nil"/>
              <w:right w:val="single" w:sz="8" w:space="0" w:color="auto"/>
            </w:tcBorders>
            <w:vAlign w:val="center"/>
          </w:tcPr>
          <w:p w:rsidR="00675948" w:rsidRDefault="00675948"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16</w:t>
            </w:r>
          </w:p>
        </w:tc>
      </w:tr>
      <w:tr w:rsidR="007A28DB" w:rsidTr="0035115C">
        <w:trPr>
          <w:trHeight w:val="315"/>
          <w:jc w:val="center"/>
        </w:trPr>
        <w:tc>
          <w:tcPr>
            <w:tcW w:w="2229" w:type="dxa"/>
            <w:tcBorders>
              <w:top w:val="single" w:sz="8" w:space="0" w:color="auto"/>
              <w:left w:val="single" w:sz="8" w:space="0" w:color="auto"/>
              <w:bottom w:val="single" w:sz="8" w:space="0" w:color="auto"/>
              <w:right w:val="single" w:sz="8" w:space="0" w:color="auto"/>
            </w:tcBorders>
          </w:tcPr>
          <w:p w:rsidR="00F252DC" w:rsidRDefault="00F252DC" w:rsidP="002C7350">
            <w:pPr>
              <w:rPr>
                <w:rFonts w:ascii="Calibri" w:eastAsia="Times New Roman" w:hAnsi="Calibri" w:cs="Calibri"/>
                <w:color w:val="000000"/>
                <w:lang w:eastAsia="en-GB"/>
              </w:rPr>
            </w:pPr>
          </w:p>
        </w:tc>
        <w:tc>
          <w:tcPr>
            <w:tcW w:w="2212" w:type="dxa"/>
            <w:tcBorders>
              <w:top w:val="nil"/>
              <w:left w:val="nil"/>
              <w:bottom w:val="single" w:sz="8" w:space="0" w:color="auto"/>
              <w:right w:val="single" w:sz="8" w:space="0" w:color="auto"/>
            </w:tcBorders>
          </w:tcPr>
          <w:p w:rsidR="00F252DC" w:rsidRDefault="00F252DC" w:rsidP="002C7350">
            <w:pPr>
              <w:rPr>
                <w:rFonts w:ascii="Calibri" w:eastAsia="Times New Roman" w:hAnsi="Calibri" w:cs="Calibri"/>
                <w:color w:val="000000"/>
                <w:lang w:eastAsia="en-GB"/>
              </w:rPr>
            </w:pPr>
          </w:p>
        </w:tc>
        <w:tc>
          <w:tcPr>
            <w:tcW w:w="2214" w:type="dxa"/>
            <w:tcBorders>
              <w:top w:val="single" w:sz="8" w:space="0" w:color="auto"/>
              <w:left w:val="nil"/>
              <w:bottom w:val="nil"/>
              <w:right w:val="single" w:sz="8" w:space="0" w:color="auto"/>
            </w:tcBorders>
          </w:tcPr>
          <w:p w:rsidR="00F252DC" w:rsidRDefault="00F252DC" w:rsidP="002C7350">
            <w:pPr>
              <w:rPr>
                <w:rFonts w:ascii="Calibri" w:eastAsia="Times New Roman" w:hAnsi="Calibri" w:cs="Calibri"/>
                <w:color w:val="000000"/>
                <w:lang w:eastAsia="en-GB"/>
              </w:rPr>
            </w:pPr>
          </w:p>
        </w:tc>
        <w:tc>
          <w:tcPr>
            <w:tcW w:w="1010" w:type="dxa"/>
            <w:tcBorders>
              <w:top w:val="single" w:sz="8" w:space="0" w:color="auto"/>
              <w:left w:val="nil"/>
              <w:bottom w:val="nil"/>
              <w:right w:val="single" w:sz="8" w:space="0" w:color="auto"/>
            </w:tcBorders>
            <w:vAlign w:val="center"/>
          </w:tcPr>
          <w:p w:rsidR="00F252DC" w:rsidRDefault="00F252DC" w:rsidP="00516DFB">
            <w:pPr>
              <w:ind w:firstLineChars="100" w:firstLine="220"/>
              <w:jc w:val="right"/>
              <w:rPr>
                <w:rFonts w:ascii="Calibri" w:eastAsia="Times New Roman" w:hAnsi="Calibri" w:cs="Calibri"/>
                <w:bCs/>
                <w:color w:val="000000"/>
                <w:lang w:eastAsia="en-GB"/>
              </w:rPr>
            </w:pPr>
          </w:p>
        </w:tc>
        <w:tc>
          <w:tcPr>
            <w:tcW w:w="1018" w:type="dxa"/>
            <w:tcBorders>
              <w:top w:val="single" w:sz="8" w:space="0" w:color="auto"/>
              <w:left w:val="nil"/>
              <w:bottom w:val="nil"/>
              <w:right w:val="single" w:sz="4" w:space="0" w:color="auto"/>
            </w:tcBorders>
            <w:vAlign w:val="center"/>
          </w:tcPr>
          <w:p w:rsidR="00F252DC" w:rsidRDefault="00F252DC" w:rsidP="00516DFB">
            <w:pPr>
              <w:ind w:firstLineChars="100" w:firstLine="220"/>
              <w:jc w:val="right"/>
              <w:rPr>
                <w:rFonts w:ascii="Calibri" w:eastAsia="Times New Roman" w:hAnsi="Calibri" w:cs="Calibri"/>
                <w:bCs/>
                <w:color w:val="000000"/>
                <w:lang w:eastAsia="en-GB"/>
              </w:rPr>
            </w:pPr>
          </w:p>
        </w:tc>
        <w:tc>
          <w:tcPr>
            <w:tcW w:w="1181" w:type="dxa"/>
            <w:tcBorders>
              <w:top w:val="single" w:sz="8" w:space="0" w:color="auto"/>
              <w:left w:val="single" w:sz="4" w:space="0" w:color="auto"/>
              <w:bottom w:val="nil"/>
              <w:right w:val="single" w:sz="8" w:space="0" w:color="auto"/>
            </w:tcBorders>
            <w:vAlign w:val="center"/>
          </w:tcPr>
          <w:p w:rsidR="00F252DC" w:rsidRDefault="00F252DC" w:rsidP="00516DFB">
            <w:pPr>
              <w:ind w:firstLineChars="100" w:firstLine="220"/>
              <w:jc w:val="right"/>
              <w:rPr>
                <w:rFonts w:ascii="Calibri" w:eastAsia="Times New Roman" w:hAnsi="Calibri" w:cs="Calibri"/>
                <w:bCs/>
                <w:color w:val="000000"/>
                <w:lang w:eastAsia="en-GB"/>
              </w:rPr>
            </w:pPr>
          </w:p>
        </w:tc>
      </w:tr>
      <w:tr w:rsidR="007A28DB" w:rsidTr="0035115C">
        <w:trPr>
          <w:trHeight w:val="397"/>
          <w:jc w:val="center"/>
        </w:trPr>
        <w:tc>
          <w:tcPr>
            <w:tcW w:w="2229" w:type="dxa"/>
            <w:tcBorders>
              <w:top w:val="single" w:sz="8" w:space="0" w:color="auto"/>
              <w:left w:val="single" w:sz="8" w:space="0" w:color="auto"/>
              <w:bottom w:val="single" w:sz="8" w:space="0" w:color="auto"/>
              <w:right w:val="single" w:sz="8" w:space="0" w:color="auto"/>
            </w:tcBorders>
            <w:vAlign w:val="center"/>
            <w:hideMark/>
          </w:tcPr>
          <w:p w:rsidR="00292A94" w:rsidRDefault="00292A94" w:rsidP="00516DFB">
            <w:pPr>
              <w:rPr>
                <w:rFonts w:ascii="Calibri" w:eastAsia="Times New Roman" w:hAnsi="Calibri" w:cs="Calibri"/>
                <w:b/>
                <w:bCs/>
                <w:color w:val="000000"/>
                <w:lang w:eastAsia="en-GB"/>
              </w:rPr>
            </w:pPr>
            <w:r>
              <w:rPr>
                <w:rFonts w:ascii="Calibri" w:eastAsia="Times New Roman" w:hAnsi="Calibri" w:cs="Calibri"/>
                <w:b/>
                <w:bCs/>
                <w:color w:val="000000"/>
                <w:lang w:eastAsia="en-GB"/>
              </w:rPr>
              <w:t>Springburn</w:t>
            </w:r>
          </w:p>
        </w:tc>
        <w:tc>
          <w:tcPr>
            <w:tcW w:w="2212" w:type="dxa"/>
            <w:tcBorders>
              <w:top w:val="single" w:sz="8" w:space="0" w:color="auto"/>
              <w:left w:val="nil"/>
              <w:bottom w:val="single" w:sz="8" w:space="0" w:color="auto"/>
              <w:right w:val="single" w:sz="8" w:space="0" w:color="auto"/>
            </w:tcBorders>
            <w:hideMark/>
          </w:tcPr>
          <w:p w:rsidR="00292A94" w:rsidRDefault="00292A94" w:rsidP="002C7350">
            <w:pPr>
              <w:ind w:firstLineChars="100" w:firstLine="220"/>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14" w:type="dxa"/>
            <w:tcBorders>
              <w:top w:val="single" w:sz="8" w:space="0" w:color="auto"/>
              <w:left w:val="nil"/>
              <w:bottom w:val="single" w:sz="8" w:space="0" w:color="auto"/>
              <w:right w:val="single" w:sz="8" w:space="0" w:color="auto"/>
            </w:tcBorders>
            <w:hideMark/>
          </w:tcPr>
          <w:p w:rsidR="00292A94" w:rsidRDefault="00292A94" w:rsidP="002C7350">
            <w:pPr>
              <w:ind w:firstLineChars="100" w:firstLine="220"/>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010" w:type="dxa"/>
            <w:tcBorders>
              <w:top w:val="single" w:sz="8" w:space="0" w:color="auto"/>
              <w:left w:val="nil"/>
              <w:bottom w:val="single" w:sz="8" w:space="0" w:color="auto"/>
              <w:right w:val="single" w:sz="8" w:space="0" w:color="auto"/>
            </w:tcBorders>
            <w:vAlign w:val="center"/>
            <w:hideMark/>
          </w:tcPr>
          <w:p w:rsidR="00292A94" w:rsidRPr="00292A94" w:rsidRDefault="00292A9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018" w:type="dxa"/>
            <w:tcBorders>
              <w:top w:val="single" w:sz="8" w:space="0" w:color="auto"/>
              <w:left w:val="nil"/>
              <w:bottom w:val="single" w:sz="8" w:space="0" w:color="auto"/>
              <w:right w:val="single" w:sz="4" w:space="0" w:color="auto"/>
            </w:tcBorders>
            <w:vAlign w:val="center"/>
          </w:tcPr>
          <w:p w:rsidR="00292A94" w:rsidRPr="00292A94" w:rsidRDefault="00292A9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181" w:type="dxa"/>
            <w:tcBorders>
              <w:top w:val="single" w:sz="8" w:space="0" w:color="auto"/>
              <w:left w:val="single" w:sz="4" w:space="0" w:color="auto"/>
              <w:bottom w:val="single" w:sz="8" w:space="0" w:color="auto"/>
              <w:right w:val="single" w:sz="8" w:space="0" w:color="auto"/>
            </w:tcBorders>
            <w:vAlign w:val="center"/>
            <w:hideMark/>
          </w:tcPr>
          <w:p w:rsidR="00292A94" w:rsidRPr="00292A94" w:rsidRDefault="00292A9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r>
      <w:tr w:rsidR="007A28DB" w:rsidTr="0035115C">
        <w:trPr>
          <w:trHeight w:val="615"/>
          <w:jc w:val="center"/>
        </w:trPr>
        <w:tc>
          <w:tcPr>
            <w:tcW w:w="2229" w:type="dxa"/>
            <w:tcBorders>
              <w:top w:val="nil"/>
              <w:left w:val="single" w:sz="8" w:space="0" w:color="auto"/>
              <w:bottom w:val="single" w:sz="8" w:space="0" w:color="auto"/>
              <w:right w:val="single" w:sz="8" w:space="0" w:color="auto"/>
            </w:tcBorders>
            <w:vAlign w:val="center"/>
          </w:tcPr>
          <w:p w:rsidR="00292A9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M&amp;E Replacement</w:t>
            </w:r>
          </w:p>
        </w:tc>
        <w:tc>
          <w:tcPr>
            <w:tcW w:w="2212" w:type="dxa"/>
            <w:tcBorders>
              <w:top w:val="nil"/>
              <w:left w:val="nil"/>
              <w:bottom w:val="single" w:sz="8" w:space="0" w:color="auto"/>
              <w:right w:val="single" w:sz="8" w:space="0" w:color="auto"/>
            </w:tcBorders>
            <w:vAlign w:val="center"/>
          </w:tcPr>
          <w:p w:rsidR="00292A94" w:rsidRDefault="00292A94" w:rsidP="00516DFB">
            <w:pPr>
              <w:rPr>
                <w:rFonts w:ascii="Calibri" w:eastAsia="Times New Roman" w:hAnsi="Calibri" w:cs="Calibri"/>
                <w:color w:val="000000"/>
                <w:lang w:eastAsia="en-GB"/>
              </w:rPr>
            </w:pPr>
          </w:p>
        </w:tc>
        <w:tc>
          <w:tcPr>
            <w:tcW w:w="2214" w:type="dxa"/>
            <w:tcBorders>
              <w:top w:val="nil"/>
              <w:left w:val="nil"/>
              <w:bottom w:val="single" w:sz="8" w:space="0" w:color="auto"/>
              <w:right w:val="single" w:sz="8" w:space="0" w:color="auto"/>
            </w:tcBorders>
          </w:tcPr>
          <w:p w:rsidR="00292A94" w:rsidRDefault="00A44F57" w:rsidP="00786B8A">
            <w:pPr>
              <w:rPr>
                <w:rFonts w:ascii="Calibri" w:eastAsia="Times New Roman" w:hAnsi="Calibri" w:cs="Calibri"/>
                <w:color w:val="000000"/>
                <w:lang w:eastAsia="en-GB"/>
              </w:rPr>
            </w:pPr>
            <w:r w:rsidRPr="00A44F57">
              <w:rPr>
                <w:rFonts w:ascii="Calibri" w:eastAsia="Times New Roman" w:hAnsi="Calibri" w:cs="Calibri"/>
                <w:color w:val="000000"/>
                <w:lang w:eastAsia="en-GB"/>
              </w:rPr>
              <w:t>Programme to be confirmed upon completion of BMS project</w:t>
            </w:r>
          </w:p>
        </w:tc>
        <w:tc>
          <w:tcPr>
            <w:tcW w:w="1010" w:type="dxa"/>
            <w:tcBorders>
              <w:top w:val="nil"/>
              <w:left w:val="nil"/>
              <w:bottom w:val="single" w:sz="8" w:space="0" w:color="auto"/>
              <w:right w:val="single" w:sz="8" w:space="0" w:color="auto"/>
            </w:tcBorders>
            <w:vAlign w:val="center"/>
            <w:hideMark/>
          </w:tcPr>
          <w:p w:rsidR="00292A94" w:rsidRPr="00292A94"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260</w:t>
            </w:r>
          </w:p>
        </w:tc>
        <w:tc>
          <w:tcPr>
            <w:tcW w:w="1018" w:type="dxa"/>
            <w:tcBorders>
              <w:top w:val="nil"/>
              <w:left w:val="nil"/>
              <w:bottom w:val="single" w:sz="8" w:space="0" w:color="auto"/>
              <w:right w:val="single" w:sz="4" w:space="0" w:color="auto"/>
            </w:tcBorders>
            <w:vAlign w:val="center"/>
          </w:tcPr>
          <w:p w:rsidR="00292A94" w:rsidRPr="00292A94" w:rsidRDefault="00A44F57" w:rsidP="00675948">
            <w:pPr>
              <w:spacing w:line="276" w:lineRule="auto"/>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25</w:t>
            </w:r>
            <w:r w:rsidR="00675948">
              <w:rPr>
                <w:rFonts w:ascii="Calibri" w:eastAsia="Times New Roman" w:hAnsi="Calibri" w:cs="Calibri"/>
                <w:bCs/>
                <w:color w:val="000000"/>
                <w:lang w:eastAsia="en-GB"/>
              </w:rPr>
              <w:t>1</w:t>
            </w:r>
          </w:p>
        </w:tc>
        <w:tc>
          <w:tcPr>
            <w:tcW w:w="1181" w:type="dxa"/>
            <w:tcBorders>
              <w:top w:val="nil"/>
              <w:left w:val="single" w:sz="4" w:space="0" w:color="auto"/>
              <w:bottom w:val="single" w:sz="8" w:space="0" w:color="auto"/>
              <w:right w:val="single" w:sz="8" w:space="0" w:color="auto"/>
            </w:tcBorders>
            <w:vAlign w:val="center"/>
            <w:hideMark/>
          </w:tcPr>
          <w:p w:rsidR="00292A94" w:rsidRPr="00292A94" w:rsidRDefault="00675948" w:rsidP="00516DFB">
            <w:pPr>
              <w:spacing w:line="276" w:lineRule="auto"/>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7</w:t>
            </w:r>
            <w:r w:rsidR="00A44F57">
              <w:rPr>
                <w:rFonts w:ascii="Calibri" w:eastAsia="Times New Roman" w:hAnsi="Calibri" w:cs="Calibri"/>
                <w:bCs/>
                <w:color w:val="000000"/>
                <w:lang w:eastAsia="en-GB"/>
              </w:rPr>
              <w:t>0</w:t>
            </w:r>
          </w:p>
        </w:tc>
      </w:tr>
      <w:tr w:rsidR="007A28DB" w:rsidTr="0035115C">
        <w:trPr>
          <w:trHeight w:val="615"/>
          <w:jc w:val="center"/>
        </w:trPr>
        <w:tc>
          <w:tcPr>
            <w:tcW w:w="2229" w:type="dxa"/>
            <w:tcBorders>
              <w:top w:val="nil"/>
              <w:left w:val="single" w:sz="8" w:space="0" w:color="auto"/>
              <w:bottom w:val="single" w:sz="4" w:space="0" w:color="auto"/>
              <w:right w:val="single" w:sz="8" w:space="0" w:color="auto"/>
            </w:tcBorders>
            <w:vAlign w:val="center"/>
          </w:tcPr>
          <w:p w:rsidR="00292A9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Ground floor toilets</w:t>
            </w:r>
          </w:p>
        </w:tc>
        <w:tc>
          <w:tcPr>
            <w:tcW w:w="2212" w:type="dxa"/>
            <w:tcBorders>
              <w:top w:val="nil"/>
              <w:left w:val="nil"/>
              <w:bottom w:val="single" w:sz="4" w:space="0" w:color="auto"/>
              <w:right w:val="single" w:sz="8" w:space="0" w:color="auto"/>
            </w:tcBorders>
            <w:vAlign w:val="center"/>
          </w:tcPr>
          <w:p w:rsidR="00292A9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Complete refurbish including cubicles and re-tiling</w:t>
            </w:r>
          </w:p>
        </w:tc>
        <w:tc>
          <w:tcPr>
            <w:tcW w:w="2214" w:type="dxa"/>
            <w:tcBorders>
              <w:top w:val="nil"/>
              <w:left w:val="nil"/>
              <w:bottom w:val="single" w:sz="4" w:space="0" w:color="auto"/>
              <w:right w:val="single" w:sz="8" w:space="0" w:color="auto"/>
            </w:tcBorders>
            <w:vAlign w:val="center"/>
          </w:tcPr>
          <w:p w:rsidR="00292A94" w:rsidRDefault="00A44F57" w:rsidP="00675948">
            <w:pPr>
              <w:rPr>
                <w:rFonts w:ascii="Calibri" w:eastAsia="Times New Roman" w:hAnsi="Calibri" w:cs="Calibri"/>
                <w:color w:val="000000"/>
                <w:lang w:eastAsia="en-GB"/>
              </w:rPr>
            </w:pPr>
            <w:r>
              <w:rPr>
                <w:rFonts w:ascii="Calibri" w:eastAsia="Times New Roman" w:hAnsi="Calibri" w:cs="Calibri"/>
                <w:color w:val="000000"/>
                <w:lang w:eastAsia="en-GB"/>
              </w:rPr>
              <w:t>Completed</w:t>
            </w:r>
          </w:p>
        </w:tc>
        <w:tc>
          <w:tcPr>
            <w:tcW w:w="1010" w:type="dxa"/>
            <w:tcBorders>
              <w:top w:val="nil"/>
              <w:left w:val="nil"/>
              <w:bottom w:val="single" w:sz="4" w:space="0" w:color="auto"/>
              <w:right w:val="single" w:sz="8" w:space="0" w:color="auto"/>
            </w:tcBorders>
            <w:vAlign w:val="center"/>
            <w:hideMark/>
          </w:tcPr>
          <w:p w:rsidR="00292A94" w:rsidRPr="00292A94" w:rsidRDefault="00D31224"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18</w:t>
            </w:r>
          </w:p>
        </w:tc>
        <w:tc>
          <w:tcPr>
            <w:tcW w:w="1018" w:type="dxa"/>
            <w:tcBorders>
              <w:top w:val="nil"/>
              <w:left w:val="nil"/>
              <w:bottom w:val="single" w:sz="4" w:space="0" w:color="auto"/>
              <w:right w:val="single" w:sz="4" w:space="0" w:color="auto"/>
            </w:tcBorders>
            <w:vAlign w:val="center"/>
          </w:tcPr>
          <w:p w:rsidR="00292A94" w:rsidRPr="009201D5" w:rsidRDefault="00675948" w:rsidP="00516DFB">
            <w:pPr>
              <w:spacing w:line="276" w:lineRule="auto"/>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25</w:t>
            </w:r>
          </w:p>
        </w:tc>
        <w:tc>
          <w:tcPr>
            <w:tcW w:w="1181" w:type="dxa"/>
            <w:tcBorders>
              <w:top w:val="nil"/>
              <w:left w:val="single" w:sz="4" w:space="0" w:color="auto"/>
              <w:bottom w:val="single" w:sz="4" w:space="0" w:color="auto"/>
              <w:right w:val="single" w:sz="8" w:space="0" w:color="auto"/>
            </w:tcBorders>
            <w:vAlign w:val="center"/>
            <w:hideMark/>
          </w:tcPr>
          <w:p w:rsidR="00292A94" w:rsidRPr="009201D5" w:rsidRDefault="00675948" w:rsidP="00516DFB">
            <w:pPr>
              <w:spacing w:line="276" w:lineRule="auto"/>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25</w:t>
            </w:r>
          </w:p>
        </w:tc>
      </w:tr>
      <w:tr w:rsidR="007A28DB" w:rsidTr="0035115C">
        <w:trPr>
          <w:trHeight w:val="397"/>
          <w:jc w:val="center"/>
        </w:trPr>
        <w:tc>
          <w:tcPr>
            <w:tcW w:w="2229" w:type="dxa"/>
            <w:tcBorders>
              <w:top w:val="single" w:sz="4" w:space="0" w:color="auto"/>
              <w:left w:val="single" w:sz="8" w:space="0" w:color="auto"/>
              <w:bottom w:val="single" w:sz="8" w:space="0" w:color="auto"/>
              <w:right w:val="single" w:sz="8" w:space="0" w:color="auto"/>
            </w:tcBorders>
          </w:tcPr>
          <w:p w:rsidR="00516DFB" w:rsidRDefault="00516DFB" w:rsidP="00D31224">
            <w:pPr>
              <w:rPr>
                <w:rFonts w:ascii="Calibri" w:eastAsia="Times New Roman" w:hAnsi="Calibri" w:cs="Calibri"/>
                <w:b/>
                <w:bCs/>
                <w:color w:val="000000"/>
                <w:lang w:eastAsia="en-GB"/>
              </w:rPr>
            </w:pPr>
          </w:p>
        </w:tc>
        <w:tc>
          <w:tcPr>
            <w:tcW w:w="2212" w:type="dxa"/>
            <w:tcBorders>
              <w:top w:val="single" w:sz="4" w:space="0" w:color="auto"/>
              <w:left w:val="nil"/>
              <w:bottom w:val="single" w:sz="8" w:space="0" w:color="auto"/>
              <w:right w:val="single" w:sz="8" w:space="0" w:color="auto"/>
            </w:tcBorders>
          </w:tcPr>
          <w:p w:rsidR="00516DFB" w:rsidRDefault="00516DFB" w:rsidP="00D31224">
            <w:pPr>
              <w:rPr>
                <w:rFonts w:ascii="Calibri" w:eastAsia="Times New Roman" w:hAnsi="Calibri" w:cs="Calibri"/>
                <w:color w:val="000000"/>
                <w:lang w:eastAsia="en-GB"/>
              </w:rPr>
            </w:pPr>
          </w:p>
        </w:tc>
        <w:tc>
          <w:tcPr>
            <w:tcW w:w="2214" w:type="dxa"/>
            <w:tcBorders>
              <w:top w:val="single" w:sz="4" w:space="0" w:color="auto"/>
              <w:left w:val="nil"/>
              <w:bottom w:val="single" w:sz="8" w:space="0" w:color="auto"/>
              <w:right w:val="single" w:sz="8" w:space="0" w:color="auto"/>
            </w:tcBorders>
          </w:tcPr>
          <w:p w:rsidR="00516DFB" w:rsidRDefault="00516DFB" w:rsidP="00D31224">
            <w:pPr>
              <w:rPr>
                <w:rFonts w:ascii="Calibri" w:eastAsia="Times New Roman" w:hAnsi="Calibri" w:cs="Calibri"/>
                <w:color w:val="000000"/>
                <w:lang w:eastAsia="en-GB"/>
              </w:rPr>
            </w:pPr>
          </w:p>
        </w:tc>
        <w:tc>
          <w:tcPr>
            <w:tcW w:w="1010" w:type="dxa"/>
            <w:tcBorders>
              <w:top w:val="single" w:sz="4" w:space="0" w:color="auto"/>
              <w:left w:val="nil"/>
              <w:bottom w:val="single" w:sz="8" w:space="0" w:color="auto"/>
              <w:right w:val="single" w:sz="8" w:space="0" w:color="auto"/>
            </w:tcBorders>
            <w:vAlign w:val="center"/>
          </w:tcPr>
          <w:p w:rsidR="00516DFB" w:rsidRPr="00292A94" w:rsidRDefault="00516DFB" w:rsidP="00516DFB">
            <w:pPr>
              <w:ind w:firstLineChars="100" w:firstLine="220"/>
              <w:jc w:val="right"/>
              <w:rPr>
                <w:rFonts w:ascii="Calibri" w:eastAsia="Times New Roman" w:hAnsi="Calibri" w:cs="Calibri"/>
                <w:bCs/>
                <w:color w:val="000000"/>
                <w:lang w:eastAsia="en-GB"/>
              </w:rPr>
            </w:pPr>
          </w:p>
        </w:tc>
        <w:tc>
          <w:tcPr>
            <w:tcW w:w="1018" w:type="dxa"/>
            <w:tcBorders>
              <w:top w:val="single" w:sz="4" w:space="0" w:color="auto"/>
              <w:left w:val="nil"/>
              <w:bottom w:val="single" w:sz="8" w:space="0" w:color="auto"/>
              <w:right w:val="single" w:sz="4" w:space="0" w:color="auto"/>
            </w:tcBorders>
            <w:vAlign w:val="center"/>
          </w:tcPr>
          <w:p w:rsidR="00516DFB" w:rsidRPr="00292A94" w:rsidRDefault="00516DFB" w:rsidP="00516DFB">
            <w:pPr>
              <w:ind w:firstLineChars="100" w:firstLine="220"/>
              <w:jc w:val="right"/>
              <w:rPr>
                <w:rFonts w:ascii="Calibri" w:eastAsia="Times New Roman" w:hAnsi="Calibri" w:cs="Calibri"/>
                <w:bCs/>
                <w:color w:val="000000"/>
                <w:lang w:eastAsia="en-GB"/>
              </w:rPr>
            </w:pPr>
          </w:p>
        </w:tc>
        <w:tc>
          <w:tcPr>
            <w:tcW w:w="1181" w:type="dxa"/>
            <w:tcBorders>
              <w:top w:val="single" w:sz="4" w:space="0" w:color="auto"/>
              <w:left w:val="single" w:sz="4" w:space="0" w:color="auto"/>
              <w:bottom w:val="single" w:sz="8" w:space="0" w:color="auto"/>
              <w:right w:val="single" w:sz="8" w:space="0" w:color="auto"/>
            </w:tcBorders>
            <w:vAlign w:val="center"/>
          </w:tcPr>
          <w:p w:rsidR="00516DFB" w:rsidRPr="00292A94" w:rsidRDefault="00516DFB" w:rsidP="00516DFB">
            <w:pPr>
              <w:ind w:firstLineChars="100" w:firstLine="220"/>
              <w:jc w:val="right"/>
              <w:rPr>
                <w:rFonts w:ascii="Calibri" w:eastAsia="Times New Roman" w:hAnsi="Calibri" w:cs="Calibri"/>
                <w:bCs/>
                <w:color w:val="000000"/>
                <w:lang w:eastAsia="en-GB"/>
              </w:rPr>
            </w:pPr>
          </w:p>
        </w:tc>
      </w:tr>
      <w:tr w:rsidR="007A28DB" w:rsidTr="0035115C">
        <w:trPr>
          <w:trHeight w:val="397"/>
          <w:jc w:val="center"/>
        </w:trPr>
        <w:tc>
          <w:tcPr>
            <w:tcW w:w="2229" w:type="dxa"/>
            <w:tcBorders>
              <w:top w:val="single" w:sz="4" w:space="0" w:color="auto"/>
              <w:left w:val="single" w:sz="8" w:space="0" w:color="auto"/>
              <w:bottom w:val="single" w:sz="8" w:space="0" w:color="auto"/>
              <w:right w:val="single" w:sz="8" w:space="0" w:color="auto"/>
            </w:tcBorders>
            <w:vAlign w:val="center"/>
          </w:tcPr>
          <w:p w:rsidR="00D31224" w:rsidRPr="00EE30B2" w:rsidRDefault="00D31224" w:rsidP="00516DFB">
            <w:pP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Easterhouse</w:t>
            </w:r>
            <w:proofErr w:type="spellEnd"/>
          </w:p>
        </w:tc>
        <w:tc>
          <w:tcPr>
            <w:tcW w:w="2212" w:type="dxa"/>
            <w:tcBorders>
              <w:top w:val="single" w:sz="4" w:space="0" w:color="auto"/>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p>
        </w:tc>
        <w:tc>
          <w:tcPr>
            <w:tcW w:w="2214" w:type="dxa"/>
            <w:tcBorders>
              <w:top w:val="single" w:sz="4" w:space="0" w:color="auto"/>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p>
        </w:tc>
        <w:tc>
          <w:tcPr>
            <w:tcW w:w="1010" w:type="dxa"/>
            <w:tcBorders>
              <w:top w:val="single" w:sz="4" w:space="0" w:color="auto"/>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p>
        </w:tc>
        <w:tc>
          <w:tcPr>
            <w:tcW w:w="1018" w:type="dxa"/>
            <w:tcBorders>
              <w:top w:val="single" w:sz="4" w:space="0" w:color="auto"/>
              <w:left w:val="nil"/>
              <w:bottom w:val="single" w:sz="8" w:space="0" w:color="auto"/>
              <w:right w:val="single" w:sz="4"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p>
        </w:tc>
        <w:tc>
          <w:tcPr>
            <w:tcW w:w="1181" w:type="dxa"/>
            <w:tcBorders>
              <w:top w:val="single" w:sz="4" w:space="0" w:color="auto"/>
              <w:left w:val="single" w:sz="4" w:space="0" w:color="auto"/>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p>
        </w:tc>
      </w:tr>
      <w:tr w:rsidR="007A28DB" w:rsidTr="0035115C">
        <w:trPr>
          <w:trHeight w:val="615"/>
          <w:jc w:val="center"/>
        </w:trPr>
        <w:tc>
          <w:tcPr>
            <w:tcW w:w="2229" w:type="dxa"/>
            <w:tcBorders>
              <w:top w:val="nil"/>
              <w:left w:val="single" w:sz="8" w:space="0" w:color="auto"/>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Student common room</w:t>
            </w:r>
            <w:r w:rsidR="0035115C">
              <w:rPr>
                <w:rFonts w:ascii="Calibri" w:eastAsia="Times New Roman" w:hAnsi="Calibri" w:cs="Calibri"/>
                <w:color w:val="000000"/>
                <w:lang w:eastAsia="en-GB"/>
              </w:rPr>
              <w:t>/learning environment</w:t>
            </w:r>
            <w:r>
              <w:rPr>
                <w:rFonts w:ascii="Calibri" w:eastAsia="Times New Roman" w:hAnsi="Calibri" w:cs="Calibri"/>
                <w:color w:val="000000"/>
                <w:lang w:eastAsia="en-GB"/>
              </w:rPr>
              <w:t xml:space="preserve"> upgrade</w:t>
            </w:r>
          </w:p>
        </w:tc>
        <w:tc>
          <w:tcPr>
            <w:tcW w:w="2212" w:type="dxa"/>
            <w:tcBorders>
              <w:top w:val="nil"/>
              <w:left w:val="nil"/>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p>
        </w:tc>
        <w:tc>
          <w:tcPr>
            <w:tcW w:w="2214" w:type="dxa"/>
            <w:tcBorders>
              <w:top w:val="nil"/>
              <w:left w:val="nil"/>
              <w:bottom w:val="single" w:sz="8" w:space="0" w:color="auto"/>
              <w:right w:val="single" w:sz="8" w:space="0" w:color="auto"/>
            </w:tcBorders>
            <w:vAlign w:val="center"/>
          </w:tcPr>
          <w:p w:rsidR="00D31224" w:rsidRDefault="00A44F57" w:rsidP="0035115C">
            <w:pPr>
              <w:rPr>
                <w:rFonts w:ascii="Calibri" w:eastAsia="Times New Roman" w:hAnsi="Calibri" w:cs="Calibri"/>
                <w:color w:val="000000"/>
                <w:lang w:eastAsia="en-GB"/>
              </w:rPr>
            </w:pPr>
            <w:r>
              <w:rPr>
                <w:rFonts w:ascii="Calibri" w:eastAsia="Times New Roman" w:hAnsi="Calibri" w:cs="Calibri"/>
                <w:color w:val="000000"/>
                <w:lang w:eastAsia="en-GB"/>
              </w:rPr>
              <w:t>Student Association developing design</w:t>
            </w:r>
          </w:p>
        </w:tc>
        <w:tc>
          <w:tcPr>
            <w:tcW w:w="1010" w:type="dxa"/>
            <w:tcBorders>
              <w:top w:val="nil"/>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20</w:t>
            </w:r>
          </w:p>
        </w:tc>
        <w:tc>
          <w:tcPr>
            <w:tcW w:w="1018" w:type="dxa"/>
            <w:tcBorders>
              <w:top w:val="nil"/>
              <w:left w:val="nil"/>
              <w:bottom w:val="single" w:sz="8" w:space="0" w:color="auto"/>
              <w:right w:val="single" w:sz="4" w:space="0" w:color="auto"/>
            </w:tcBorders>
            <w:vAlign w:val="center"/>
          </w:tcPr>
          <w:p w:rsidR="00D31224" w:rsidRPr="00292A94" w:rsidRDefault="00A44F57" w:rsidP="0035115C">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w:t>
            </w:r>
            <w:r w:rsidR="0035115C">
              <w:rPr>
                <w:rFonts w:ascii="Calibri" w:eastAsia="Times New Roman" w:hAnsi="Calibri" w:cs="Calibri"/>
                <w:bCs/>
                <w:color w:val="000000"/>
                <w:lang w:eastAsia="en-GB"/>
              </w:rPr>
              <w:t>5</w:t>
            </w:r>
          </w:p>
        </w:tc>
        <w:tc>
          <w:tcPr>
            <w:tcW w:w="1181" w:type="dxa"/>
            <w:tcBorders>
              <w:top w:val="nil"/>
              <w:left w:val="single" w:sz="4" w:space="0" w:color="auto"/>
              <w:bottom w:val="single" w:sz="8" w:space="0" w:color="auto"/>
              <w:right w:val="single" w:sz="8" w:space="0" w:color="auto"/>
            </w:tcBorders>
            <w:vAlign w:val="center"/>
          </w:tcPr>
          <w:p w:rsidR="00D31224" w:rsidRPr="00292A94" w:rsidRDefault="0035115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1</w:t>
            </w:r>
            <w:r w:rsidR="00A44F57">
              <w:rPr>
                <w:rFonts w:ascii="Calibri" w:eastAsia="Times New Roman" w:hAnsi="Calibri" w:cs="Calibri"/>
                <w:bCs/>
                <w:color w:val="000000"/>
                <w:lang w:eastAsia="en-GB"/>
              </w:rPr>
              <w:t>0</w:t>
            </w:r>
          </w:p>
        </w:tc>
      </w:tr>
      <w:tr w:rsidR="007A28DB" w:rsidRPr="00292A94" w:rsidTr="0035115C">
        <w:trPr>
          <w:trHeight w:val="397"/>
          <w:jc w:val="center"/>
        </w:trPr>
        <w:tc>
          <w:tcPr>
            <w:tcW w:w="2229" w:type="dxa"/>
            <w:tcBorders>
              <w:top w:val="nil"/>
              <w:left w:val="single" w:sz="8" w:space="0" w:color="auto"/>
              <w:bottom w:val="single" w:sz="8" w:space="0" w:color="auto"/>
              <w:right w:val="single" w:sz="8" w:space="0" w:color="auto"/>
            </w:tcBorders>
            <w:vAlign w:val="center"/>
          </w:tcPr>
          <w:p w:rsidR="00D31224" w:rsidRPr="00D31224" w:rsidRDefault="00D31224" w:rsidP="00516DFB">
            <w:pPr>
              <w:rPr>
                <w:rFonts w:ascii="Calibri" w:eastAsia="Times New Roman" w:hAnsi="Calibri" w:cs="Calibri"/>
                <w:color w:val="000000"/>
                <w:lang w:eastAsia="en-GB"/>
              </w:rPr>
            </w:pPr>
            <w:r w:rsidRPr="00516DFB">
              <w:rPr>
                <w:rFonts w:ascii="Calibri" w:eastAsia="Times New Roman" w:hAnsi="Calibri" w:cs="Calibri"/>
                <w:b/>
                <w:bCs/>
                <w:color w:val="000000"/>
                <w:lang w:eastAsia="en-GB"/>
              </w:rPr>
              <w:t>West Campus</w:t>
            </w:r>
          </w:p>
        </w:tc>
        <w:tc>
          <w:tcPr>
            <w:tcW w:w="2212" w:type="dxa"/>
            <w:tcBorders>
              <w:top w:val="nil"/>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14" w:type="dxa"/>
            <w:tcBorders>
              <w:top w:val="nil"/>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010" w:type="dxa"/>
            <w:tcBorders>
              <w:top w:val="nil"/>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018" w:type="dxa"/>
            <w:tcBorders>
              <w:top w:val="nil"/>
              <w:left w:val="nil"/>
              <w:bottom w:val="single" w:sz="8" w:space="0" w:color="auto"/>
              <w:right w:val="single" w:sz="4"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181" w:type="dxa"/>
            <w:tcBorders>
              <w:top w:val="nil"/>
              <w:left w:val="single" w:sz="4" w:space="0" w:color="auto"/>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r>
      <w:tr w:rsidR="007A28DB" w:rsidRPr="00292A94" w:rsidTr="0035115C">
        <w:trPr>
          <w:trHeight w:val="615"/>
          <w:jc w:val="center"/>
        </w:trPr>
        <w:tc>
          <w:tcPr>
            <w:tcW w:w="2229" w:type="dxa"/>
            <w:tcBorders>
              <w:top w:val="nil"/>
              <w:left w:val="single" w:sz="8" w:space="0" w:color="auto"/>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Repair front entranceway door</w:t>
            </w:r>
          </w:p>
        </w:tc>
        <w:tc>
          <w:tcPr>
            <w:tcW w:w="2212" w:type="dxa"/>
            <w:tcBorders>
              <w:top w:val="nil"/>
              <w:left w:val="nil"/>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p>
        </w:tc>
        <w:tc>
          <w:tcPr>
            <w:tcW w:w="2214" w:type="dxa"/>
            <w:tcBorders>
              <w:top w:val="nil"/>
              <w:left w:val="nil"/>
              <w:bottom w:val="single" w:sz="8" w:space="0" w:color="auto"/>
              <w:right w:val="single" w:sz="8" w:space="0" w:color="auto"/>
            </w:tcBorders>
            <w:vAlign w:val="center"/>
          </w:tcPr>
          <w:p w:rsidR="00D31224" w:rsidRDefault="0035115C" w:rsidP="0035115C">
            <w:pPr>
              <w:rPr>
                <w:rFonts w:ascii="Calibri" w:eastAsia="Times New Roman" w:hAnsi="Calibri" w:cs="Calibri"/>
                <w:color w:val="000000"/>
                <w:lang w:eastAsia="en-GB"/>
              </w:rPr>
            </w:pPr>
            <w:r>
              <w:rPr>
                <w:rFonts w:ascii="Calibri" w:eastAsia="Times New Roman" w:hAnsi="Calibri" w:cs="Calibri"/>
                <w:color w:val="000000"/>
                <w:lang w:eastAsia="en-GB"/>
              </w:rPr>
              <w:t>Complete</w:t>
            </w:r>
          </w:p>
        </w:tc>
        <w:tc>
          <w:tcPr>
            <w:tcW w:w="1010" w:type="dxa"/>
            <w:tcBorders>
              <w:top w:val="nil"/>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1</w:t>
            </w:r>
            <w:r>
              <w:rPr>
                <w:rFonts w:ascii="Calibri" w:eastAsia="Times New Roman" w:hAnsi="Calibri" w:cs="Calibri"/>
                <w:bCs/>
                <w:color w:val="000000"/>
                <w:lang w:eastAsia="en-GB"/>
              </w:rPr>
              <w:t>8</w:t>
            </w:r>
          </w:p>
        </w:tc>
        <w:tc>
          <w:tcPr>
            <w:tcW w:w="1018" w:type="dxa"/>
            <w:tcBorders>
              <w:top w:val="nil"/>
              <w:left w:val="nil"/>
              <w:bottom w:val="single" w:sz="8" w:space="0" w:color="auto"/>
              <w:right w:val="single" w:sz="4" w:space="0" w:color="auto"/>
            </w:tcBorders>
            <w:vAlign w:val="center"/>
          </w:tcPr>
          <w:p w:rsidR="00D31224" w:rsidRPr="00292A94" w:rsidRDefault="0035115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w:t>
            </w:r>
          </w:p>
        </w:tc>
        <w:tc>
          <w:tcPr>
            <w:tcW w:w="1181" w:type="dxa"/>
            <w:tcBorders>
              <w:top w:val="nil"/>
              <w:left w:val="single" w:sz="4" w:space="0" w:color="auto"/>
              <w:bottom w:val="single" w:sz="8" w:space="0" w:color="auto"/>
              <w:right w:val="single" w:sz="8" w:space="0" w:color="auto"/>
            </w:tcBorders>
            <w:vAlign w:val="center"/>
          </w:tcPr>
          <w:p w:rsidR="00D31224" w:rsidRPr="00292A94" w:rsidRDefault="0035115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w:t>
            </w:r>
          </w:p>
        </w:tc>
      </w:tr>
      <w:tr w:rsidR="007A28DB" w:rsidRPr="00292A94" w:rsidTr="0035115C">
        <w:trPr>
          <w:trHeight w:val="397"/>
          <w:jc w:val="center"/>
        </w:trPr>
        <w:tc>
          <w:tcPr>
            <w:tcW w:w="2229" w:type="dxa"/>
            <w:tcBorders>
              <w:top w:val="nil"/>
              <w:left w:val="single" w:sz="8" w:space="0" w:color="auto"/>
              <w:bottom w:val="single" w:sz="8" w:space="0" w:color="auto"/>
              <w:right w:val="single" w:sz="8" w:space="0" w:color="auto"/>
            </w:tcBorders>
            <w:vAlign w:val="center"/>
          </w:tcPr>
          <w:p w:rsidR="00D31224" w:rsidRPr="00D31224" w:rsidRDefault="00D31224" w:rsidP="00516DFB">
            <w:pPr>
              <w:rPr>
                <w:rFonts w:ascii="Calibri" w:eastAsia="Times New Roman" w:hAnsi="Calibri" w:cs="Calibri"/>
                <w:color w:val="000000"/>
                <w:lang w:eastAsia="en-GB"/>
              </w:rPr>
            </w:pPr>
            <w:r w:rsidRPr="00516DFB">
              <w:rPr>
                <w:rFonts w:ascii="Calibri" w:eastAsia="Times New Roman" w:hAnsi="Calibri" w:cs="Calibri"/>
                <w:b/>
                <w:bCs/>
                <w:color w:val="000000"/>
                <w:lang w:eastAsia="en-GB"/>
              </w:rPr>
              <w:t>Other</w:t>
            </w:r>
          </w:p>
        </w:tc>
        <w:tc>
          <w:tcPr>
            <w:tcW w:w="2212" w:type="dxa"/>
            <w:tcBorders>
              <w:top w:val="nil"/>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14" w:type="dxa"/>
            <w:tcBorders>
              <w:top w:val="nil"/>
              <w:left w:val="nil"/>
              <w:bottom w:val="single" w:sz="8" w:space="0" w:color="auto"/>
              <w:right w:val="single" w:sz="8" w:space="0" w:color="auto"/>
            </w:tcBorders>
          </w:tcPr>
          <w:p w:rsidR="00D31224" w:rsidRDefault="00D31224" w:rsidP="00D31224">
            <w:pP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010" w:type="dxa"/>
            <w:tcBorders>
              <w:top w:val="nil"/>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018" w:type="dxa"/>
            <w:tcBorders>
              <w:top w:val="nil"/>
              <w:left w:val="nil"/>
              <w:bottom w:val="single" w:sz="8" w:space="0" w:color="auto"/>
              <w:right w:val="single" w:sz="4"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c>
          <w:tcPr>
            <w:tcW w:w="1181" w:type="dxa"/>
            <w:tcBorders>
              <w:top w:val="nil"/>
              <w:left w:val="single" w:sz="4" w:space="0" w:color="auto"/>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 </w:t>
            </w:r>
          </w:p>
        </w:tc>
      </w:tr>
      <w:tr w:rsidR="007A28DB" w:rsidRPr="006C2AAA" w:rsidTr="0035115C">
        <w:trPr>
          <w:trHeight w:val="615"/>
          <w:jc w:val="center"/>
        </w:trPr>
        <w:tc>
          <w:tcPr>
            <w:tcW w:w="2229" w:type="dxa"/>
            <w:tcBorders>
              <w:top w:val="nil"/>
              <w:left w:val="single" w:sz="8" w:space="0" w:color="auto"/>
              <w:bottom w:val="single" w:sz="8" w:space="0" w:color="auto"/>
              <w:right w:val="single" w:sz="8" w:space="0" w:color="auto"/>
            </w:tcBorders>
            <w:vAlign w:val="center"/>
          </w:tcPr>
          <w:p w:rsidR="00D31224" w:rsidRPr="00D31224" w:rsidRDefault="00D31224" w:rsidP="00516DFB">
            <w:pPr>
              <w:rPr>
                <w:rFonts w:ascii="Calibri" w:eastAsia="Times New Roman" w:hAnsi="Calibri" w:cs="Calibri"/>
                <w:color w:val="000000"/>
                <w:lang w:eastAsia="en-GB"/>
              </w:rPr>
            </w:pPr>
            <w:r w:rsidRPr="00D31224">
              <w:rPr>
                <w:rFonts w:ascii="Calibri" w:eastAsia="Times New Roman" w:hAnsi="Calibri" w:cs="Calibri"/>
                <w:color w:val="000000"/>
                <w:lang w:eastAsia="en-GB"/>
              </w:rPr>
              <w:t>Project Management</w:t>
            </w:r>
          </w:p>
        </w:tc>
        <w:tc>
          <w:tcPr>
            <w:tcW w:w="2212" w:type="dxa"/>
            <w:tcBorders>
              <w:top w:val="nil"/>
              <w:left w:val="nil"/>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14" w:type="dxa"/>
            <w:tcBorders>
              <w:top w:val="nil"/>
              <w:left w:val="nil"/>
              <w:bottom w:val="single" w:sz="8" w:space="0" w:color="auto"/>
              <w:right w:val="single" w:sz="8" w:space="0" w:color="auto"/>
            </w:tcBorders>
            <w:vAlign w:val="center"/>
          </w:tcPr>
          <w:p w:rsidR="00D31224" w:rsidRDefault="00D31224" w:rsidP="00516DFB">
            <w:pPr>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1010" w:type="dxa"/>
            <w:tcBorders>
              <w:top w:val="nil"/>
              <w:left w:val="nil"/>
              <w:bottom w:val="single" w:sz="8" w:space="0" w:color="auto"/>
              <w:right w:val="single" w:sz="8" w:space="0" w:color="auto"/>
            </w:tcBorders>
            <w:vAlign w:val="center"/>
          </w:tcPr>
          <w:p w:rsidR="00D31224" w:rsidRPr="00292A94" w:rsidRDefault="00D31224" w:rsidP="00516DFB">
            <w:pPr>
              <w:ind w:firstLineChars="100" w:firstLine="220"/>
              <w:jc w:val="right"/>
              <w:rPr>
                <w:rFonts w:ascii="Calibri" w:eastAsia="Times New Roman" w:hAnsi="Calibri" w:cs="Calibri"/>
                <w:bCs/>
                <w:color w:val="000000"/>
                <w:lang w:eastAsia="en-GB"/>
              </w:rPr>
            </w:pPr>
            <w:r w:rsidRPr="00292A94">
              <w:rPr>
                <w:rFonts w:ascii="Calibri" w:eastAsia="Times New Roman" w:hAnsi="Calibri" w:cs="Calibri"/>
                <w:bCs/>
                <w:color w:val="000000"/>
                <w:lang w:eastAsia="en-GB"/>
              </w:rPr>
              <w:t>45</w:t>
            </w:r>
          </w:p>
        </w:tc>
        <w:tc>
          <w:tcPr>
            <w:tcW w:w="1018" w:type="dxa"/>
            <w:tcBorders>
              <w:top w:val="nil"/>
              <w:left w:val="nil"/>
              <w:bottom w:val="single" w:sz="8" w:space="0" w:color="auto"/>
              <w:right w:val="single" w:sz="4" w:space="0" w:color="auto"/>
            </w:tcBorders>
            <w:vAlign w:val="center"/>
          </w:tcPr>
          <w:p w:rsidR="00D31224" w:rsidRPr="006C2AAA" w:rsidRDefault="00A44F57"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45</w:t>
            </w:r>
          </w:p>
        </w:tc>
        <w:tc>
          <w:tcPr>
            <w:tcW w:w="1181" w:type="dxa"/>
            <w:tcBorders>
              <w:top w:val="nil"/>
              <w:left w:val="single" w:sz="4" w:space="0" w:color="auto"/>
              <w:bottom w:val="single" w:sz="8" w:space="0" w:color="auto"/>
              <w:right w:val="single" w:sz="8" w:space="0" w:color="auto"/>
            </w:tcBorders>
            <w:vAlign w:val="center"/>
          </w:tcPr>
          <w:p w:rsidR="00D31224" w:rsidRPr="006C2AAA" w:rsidRDefault="0035115C" w:rsidP="00516DFB">
            <w:pPr>
              <w:ind w:firstLineChars="100" w:firstLine="220"/>
              <w:jc w:val="right"/>
              <w:rPr>
                <w:rFonts w:ascii="Calibri" w:eastAsia="Times New Roman" w:hAnsi="Calibri" w:cs="Calibri"/>
                <w:bCs/>
                <w:color w:val="000000"/>
                <w:lang w:eastAsia="en-GB"/>
              </w:rPr>
            </w:pPr>
            <w:r>
              <w:rPr>
                <w:rFonts w:ascii="Calibri" w:eastAsia="Times New Roman" w:hAnsi="Calibri" w:cs="Calibri"/>
                <w:bCs/>
                <w:color w:val="000000"/>
                <w:lang w:eastAsia="en-GB"/>
              </w:rPr>
              <w:t>26</w:t>
            </w:r>
          </w:p>
        </w:tc>
      </w:tr>
      <w:tr w:rsidR="007A28DB" w:rsidRPr="006C2AAA" w:rsidTr="0035115C">
        <w:trPr>
          <w:trHeight w:val="615"/>
          <w:jc w:val="center"/>
        </w:trPr>
        <w:tc>
          <w:tcPr>
            <w:tcW w:w="2229" w:type="dxa"/>
            <w:tcBorders>
              <w:top w:val="nil"/>
              <w:left w:val="single" w:sz="8" w:space="0" w:color="auto"/>
              <w:bottom w:val="single" w:sz="8" w:space="0" w:color="auto"/>
              <w:right w:val="single" w:sz="8" w:space="0" w:color="auto"/>
            </w:tcBorders>
            <w:vAlign w:val="center"/>
          </w:tcPr>
          <w:p w:rsidR="00D31224" w:rsidRPr="00516DFB" w:rsidRDefault="00D31224" w:rsidP="00516DFB">
            <w:pPr>
              <w:rPr>
                <w:rFonts w:ascii="Calibri" w:eastAsia="Times New Roman" w:hAnsi="Calibri" w:cs="Calibri"/>
                <w:b/>
                <w:color w:val="000000"/>
                <w:lang w:eastAsia="en-GB"/>
              </w:rPr>
            </w:pPr>
            <w:r w:rsidRPr="00516DFB">
              <w:rPr>
                <w:rFonts w:ascii="Calibri" w:eastAsia="Times New Roman" w:hAnsi="Calibri" w:cs="Calibri"/>
                <w:b/>
                <w:color w:val="000000"/>
                <w:lang w:eastAsia="en-GB"/>
              </w:rPr>
              <w:t>Total</w:t>
            </w:r>
          </w:p>
        </w:tc>
        <w:tc>
          <w:tcPr>
            <w:tcW w:w="2212" w:type="dxa"/>
            <w:tcBorders>
              <w:top w:val="nil"/>
              <w:left w:val="nil"/>
              <w:bottom w:val="single" w:sz="8" w:space="0" w:color="auto"/>
              <w:right w:val="single" w:sz="8" w:space="0" w:color="auto"/>
            </w:tcBorders>
          </w:tcPr>
          <w:p w:rsidR="00D31224" w:rsidRPr="00D31224" w:rsidRDefault="00D31224" w:rsidP="00D31224">
            <w:pPr>
              <w:rPr>
                <w:rFonts w:ascii="Calibri" w:eastAsia="Times New Roman" w:hAnsi="Calibri" w:cs="Calibri"/>
                <w:color w:val="000000"/>
                <w:lang w:eastAsia="en-GB"/>
              </w:rPr>
            </w:pPr>
            <w:r w:rsidRPr="00D31224">
              <w:rPr>
                <w:rFonts w:ascii="Calibri" w:eastAsia="Times New Roman" w:hAnsi="Calibri" w:cs="Calibri"/>
                <w:color w:val="000000"/>
                <w:lang w:eastAsia="en-GB"/>
              </w:rPr>
              <w:t> </w:t>
            </w:r>
          </w:p>
        </w:tc>
        <w:tc>
          <w:tcPr>
            <w:tcW w:w="2214" w:type="dxa"/>
            <w:tcBorders>
              <w:top w:val="nil"/>
              <w:left w:val="nil"/>
              <w:bottom w:val="single" w:sz="8" w:space="0" w:color="auto"/>
              <w:right w:val="single" w:sz="8" w:space="0" w:color="auto"/>
            </w:tcBorders>
          </w:tcPr>
          <w:p w:rsidR="00D31224" w:rsidRPr="00D31224" w:rsidRDefault="00D31224" w:rsidP="00D31224">
            <w:pPr>
              <w:rPr>
                <w:rFonts w:ascii="Calibri" w:eastAsia="Times New Roman" w:hAnsi="Calibri" w:cs="Calibri"/>
                <w:color w:val="000000"/>
                <w:lang w:eastAsia="en-GB"/>
              </w:rPr>
            </w:pPr>
            <w:r w:rsidRPr="00D31224">
              <w:rPr>
                <w:rFonts w:ascii="Calibri" w:eastAsia="Times New Roman" w:hAnsi="Calibri" w:cs="Calibri"/>
                <w:color w:val="000000"/>
                <w:lang w:eastAsia="en-GB"/>
              </w:rPr>
              <w:t> </w:t>
            </w:r>
          </w:p>
        </w:tc>
        <w:tc>
          <w:tcPr>
            <w:tcW w:w="1010" w:type="dxa"/>
            <w:tcBorders>
              <w:top w:val="nil"/>
              <w:left w:val="nil"/>
              <w:bottom w:val="single" w:sz="8" w:space="0" w:color="auto"/>
              <w:right w:val="single" w:sz="8" w:space="0" w:color="auto"/>
            </w:tcBorders>
            <w:vAlign w:val="center"/>
          </w:tcPr>
          <w:p w:rsidR="00D31224" w:rsidRPr="00516DFB" w:rsidRDefault="0035115C" w:rsidP="000C0B4E">
            <w:pPr>
              <w:ind w:firstLineChars="100" w:firstLine="221"/>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=SUM(d5:d21) \# "#,##0;(#,##0)" </w:instrText>
            </w:r>
            <w:r>
              <w:rPr>
                <w:rFonts w:ascii="Calibri" w:eastAsia="Times New Roman" w:hAnsi="Calibri" w:cs="Calibri"/>
                <w:b/>
                <w:bCs/>
                <w:color w:val="000000"/>
                <w:lang w:eastAsia="en-GB"/>
              </w:rPr>
              <w:fldChar w:fldCharType="separate"/>
            </w:r>
            <w:r>
              <w:rPr>
                <w:rFonts w:ascii="Calibri" w:eastAsia="Times New Roman" w:hAnsi="Calibri" w:cs="Calibri"/>
                <w:b/>
                <w:bCs/>
                <w:noProof/>
                <w:color w:val="000000"/>
                <w:lang w:eastAsia="en-GB"/>
              </w:rPr>
              <w:t xml:space="preserve"> 601</w:t>
            </w:r>
            <w:r>
              <w:rPr>
                <w:rFonts w:ascii="Calibri" w:eastAsia="Times New Roman" w:hAnsi="Calibri" w:cs="Calibri"/>
                <w:b/>
                <w:bCs/>
                <w:color w:val="000000"/>
                <w:lang w:eastAsia="en-GB"/>
              </w:rPr>
              <w:fldChar w:fldCharType="end"/>
            </w:r>
          </w:p>
        </w:tc>
        <w:tc>
          <w:tcPr>
            <w:tcW w:w="1018" w:type="dxa"/>
            <w:tcBorders>
              <w:top w:val="nil"/>
              <w:left w:val="nil"/>
              <w:bottom w:val="single" w:sz="8" w:space="0" w:color="auto"/>
              <w:right w:val="single" w:sz="4" w:space="0" w:color="auto"/>
            </w:tcBorders>
            <w:vAlign w:val="center"/>
          </w:tcPr>
          <w:p w:rsidR="00D31224" w:rsidRPr="00516DFB" w:rsidRDefault="0035115C" w:rsidP="000C0B4E">
            <w:pPr>
              <w:ind w:firstLineChars="100" w:firstLine="221"/>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=SUM(e5:e21) \# "#,##0;(#,##0)" </w:instrText>
            </w:r>
            <w:r>
              <w:rPr>
                <w:rFonts w:ascii="Calibri" w:eastAsia="Times New Roman" w:hAnsi="Calibri" w:cs="Calibri"/>
                <w:b/>
                <w:bCs/>
                <w:color w:val="000000"/>
                <w:lang w:eastAsia="en-GB"/>
              </w:rPr>
              <w:fldChar w:fldCharType="separate"/>
            </w:r>
            <w:r>
              <w:rPr>
                <w:rFonts w:ascii="Calibri" w:eastAsia="Times New Roman" w:hAnsi="Calibri" w:cs="Calibri"/>
                <w:b/>
                <w:bCs/>
                <w:noProof/>
                <w:color w:val="000000"/>
                <w:lang w:eastAsia="en-GB"/>
              </w:rPr>
              <w:t xml:space="preserve"> 601</w:t>
            </w:r>
            <w:r>
              <w:rPr>
                <w:rFonts w:ascii="Calibri" w:eastAsia="Times New Roman" w:hAnsi="Calibri" w:cs="Calibri"/>
                <w:b/>
                <w:bCs/>
                <w:color w:val="000000"/>
                <w:lang w:eastAsia="en-GB"/>
              </w:rPr>
              <w:fldChar w:fldCharType="end"/>
            </w:r>
          </w:p>
        </w:tc>
        <w:tc>
          <w:tcPr>
            <w:tcW w:w="1181" w:type="dxa"/>
            <w:tcBorders>
              <w:top w:val="nil"/>
              <w:left w:val="single" w:sz="4" w:space="0" w:color="auto"/>
              <w:bottom w:val="single" w:sz="8" w:space="0" w:color="auto"/>
              <w:right w:val="single" w:sz="8" w:space="0" w:color="auto"/>
            </w:tcBorders>
            <w:vAlign w:val="center"/>
          </w:tcPr>
          <w:p w:rsidR="00D31224" w:rsidRPr="00516DFB" w:rsidRDefault="0035115C" w:rsidP="000C0B4E">
            <w:pPr>
              <w:ind w:firstLineChars="100" w:firstLine="221"/>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=SUM(f5:f21) \# "#,##0;(#,##0)" </w:instrText>
            </w:r>
            <w:r>
              <w:rPr>
                <w:rFonts w:ascii="Calibri" w:eastAsia="Times New Roman" w:hAnsi="Calibri" w:cs="Calibri"/>
                <w:b/>
                <w:bCs/>
                <w:color w:val="000000"/>
                <w:lang w:eastAsia="en-GB"/>
              </w:rPr>
              <w:fldChar w:fldCharType="separate"/>
            </w:r>
            <w:r>
              <w:rPr>
                <w:rFonts w:ascii="Calibri" w:eastAsia="Times New Roman" w:hAnsi="Calibri" w:cs="Calibri"/>
                <w:b/>
                <w:bCs/>
                <w:noProof/>
                <w:color w:val="000000"/>
                <w:lang w:eastAsia="en-GB"/>
              </w:rPr>
              <w:t xml:space="preserve"> 246</w:t>
            </w:r>
            <w:r>
              <w:rPr>
                <w:rFonts w:ascii="Calibri" w:eastAsia="Times New Roman" w:hAnsi="Calibri" w:cs="Calibri"/>
                <w:b/>
                <w:bCs/>
                <w:color w:val="000000"/>
                <w:lang w:eastAsia="en-GB"/>
              </w:rPr>
              <w:fldChar w:fldCharType="end"/>
            </w:r>
          </w:p>
        </w:tc>
      </w:tr>
    </w:tbl>
    <w:p w:rsidR="00EE30B2" w:rsidRDefault="00EE30B2"/>
    <w:p w:rsidR="00EF17B2" w:rsidRDefault="00EF17B2" w:rsidP="00EF17B2">
      <w:pPr>
        <w:pStyle w:val="Paperparalevel2"/>
        <w:ind w:left="1134" w:hanging="567"/>
      </w:pPr>
      <w:r>
        <w:t>Glasgow Kelvin College also received £</w:t>
      </w:r>
      <w:r w:rsidR="00516DFB">
        <w:t>393</w:t>
      </w:r>
      <w:r>
        <w:t>,</w:t>
      </w:r>
      <w:r w:rsidR="00516DFB">
        <w:t>455</w:t>
      </w:r>
      <w:r>
        <w:t xml:space="preserve"> towards the cost of lifecycle maintenance.  </w:t>
      </w:r>
      <w:r w:rsidRPr="00964CE0">
        <w:t xml:space="preserve">The lifecycle maintenance grant is critical to ensuring that the College is able to carry out day to day planned and reactive maintenance in respect of all of its campus </w:t>
      </w:r>
      <w:r>
        <w:t xml:space="preserve">buildings. The funding </w:t>
      </w:r>
      <w:r w:rsidRPr="00964CE0">
        <w:t>contributes significantly to the totality of non-staff related Estates costs at the College</w:t>
      </w:r>
      <w:r>
        <w:t>.</w:t>
      </w:r>
      <w:r w:rsidRPr="00964CE0">
        <w:t xml:space="preserve"> </w:t>
      </w:r>
      <w:r>
        <w:t xml:space="preserve"> </w:t>
      </w:r>
      <w:r w:rsidRPr="00964CE0">
        <w:t xml:space="preserve">Of this total </w:t>
      </w:r>
      <w:r w:rsidR="004E44DF">
        <w:t>budget, £375,000</w:t>
      </w:r>
      <w:r w:rsidRPr="00964CE0">
        <w:t xml:space="preserve"> is allocated to replacement equipment and furniture, plant maintenance, ge</w:t>
      </w:r>
      <w:r w:rsidR="00027486">
        <w:t>neral redecoration and reactive repairs/</w:t>
      </w:r>
      <w:r w:rsidRPr="00964CE0">
        <w:t>replacements.</w:t>
      </w:r>
    </w:p>
    <w:p w:rsidR="00843DD8" w:rsidRDefault="00843DD8" w:rsidP="00843DD8">
      <w:pPr>
        <w:pStyle w:val="Paperparalevel1"/>
        <w:ind w:left="567" w:hanging="567"/>
      </w:pPr>
      <w:r>
        <w:t>Glasgow Clyde College Update</w:t>
      </w:r>
    </w:p>
    <w:p w:rsidR="008B3C68" w:rsidRDefault="008B3C68" w:rsidP="008B3C68">
      <w:pPr>
        <w:pStyle w:val="Paperparalevel2"/>
        <w:ind w:left="1134" w:hanging="567"/>
      </w:pPr>
      <w:r>
        <w:t xml:space="preserve">Glasgow </w:t>
      </w:r>
      <w:r w:rsidR="00813033">
        <w:t>Clyde College</w:t>
      </w:r>
      <w:r>
        <w:t xml:space="preserve"> is implementing its Capital Plan and progressing a range of projects that are very high priority</w:t>
      </w:r>
      <w:r w:rsidR="00EF6399" w:rsidRPr="00EF6399">
        <w:t xml:space="preserve"> </w:t>
      </w:r>
      <w:r w:rsidR="00EF6399">
        <w:t>following the allocation from GCRB of these funds as follows</w:t>
      </w:r>
      <w:r>
        <w:t>:</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25"/>
        <w:gridCol w:w="2216"/>
        <w:gridCol w:w="1013"/>
        <w:gridCol w:w="1019"/>
        <w:gridCol w:w="1181"/>
      </w:tblGrid>
      <w:tr w:rsidR="00201FA4" w:rsidRPr="009A7F4C" w:rsidTr="00201FA4">
        <w:trPr>
          <w:trHeight w:val="624"/>
          <w:jc w:val="center"/>
        </w:trPr>
        <w:tc>
          <w:tcPr>
            <w:tcW w:w="9864" w:type="dxa"/>
            <w:gridSpan w:val="6"/>
            <w:shd w:val="clear" w:color="auto" w:fill="auto"/>
            <w:vAlign w:val="center"/>
          </w:tcPr>
          <w:p w:rsidR="00201FA4" w:rsidRDefault="00201FA4" w:rsidP="00201FA4">
            <w:pPr>
              <w:rPr>
                <w:rFonts w:eastAsia="Times New Roman" w:cs="Times New Roman"/>
                <w:b/>
              </w:rPr>
            </w:pPr>
            <w:r>
              <w:rPr>
                <w:rFonts w:eastAsia="Times New Roman" w:cs="Times New Roman"/>
                <w:b/>
              </w:rPr>
              <w:t>Glasgow Clyde College</w:t>
            </w:r>
          </w:p>
        </w:tc>
      </w:tr>
      <w:tr w:rsidR="00CC0B01" w:rsidRPr="009A7F4C" w:rsidTr="00EB3615">
        <w:trPr>
          <w:trHeight w:val="1398"/>
          <w:jc w:val="center"/>
        </w:trPr>
        <w:tc>
          <w:tcPr>
            <w:tcW w:w="2210" w:type="dxa"/>
            <w:shd w:val="clear" w:color="auto" w:fill="auto"/>
          </w:tcPr>
          <w:p w:rsidR="00CC0B01" w:rsidRPr="009A7F4C" w:rsidRDefault="00CC0B01" w:rsidP="00D04D8A">
            <w:pPr>
              <w:jc w:val="both"/>
              <w:rPr>
                <w:rFonts w:eastAsia="Times New Roman" w:cs="Times New Roman"/>
                <w:b/>
              </w:rPr>
            </w:pPr>
            <w:r w:rsidRPr="00236641">
              <w:br w:type="page"/>
            </w:r>
            <w:r w:rsidRPr="009A7F4C">
              <w:rPr>
                <w:rFonts w:eastAsia="Times New Roman" w:cs="Times New Roman"/>
                <w:b/>
              </w:rPr>
              <w:t xml:space="preserve"> Project</w:t>
            </w:r>
          </w:p>
        </w:tc>
        <w:tc>
          <w:tcPr>
            <w:tcW w:w="2225" w:type="dxa"/>
            <w:shd w:val="clear" w:color="auto" w:fill="auto"/>
          </w:tcPr>
          <w:p w:rsidR="00CC0B01" w:rsidRPr="009A7F4C" w:rsidRDefault="00CC0B01" w:rsidP="00786B8A">
            <w:pPr>
              <w:rPr>
                <w:rFonts w:eastAsia="Times New Roman" w:cs="Times New Roman"/>
                <w:b/>
              </w:rPr>
            </w:pPr>
            <w:r w:rsidRPr="009A7F4C">
              <w:rPr>
                <w:rFonts w:eastAsia="Times New Roman" w:cs="Times New Roman"/>
                <w:b/>
              </w:rPr>
              <w:t>Description</w:t>
            </w:r>
          </w:p>
        </w:tc>
        <w:tc>
          <w:tcPr>
            <w:tcW w:w="2216" w:type="dxa"/>
            <w:shd w:val="clear" w:color="auto" w:fill="auto"/>
          </w:tcPr>
          <w:p w:rsidR="00CC0B01" w:rsidRPr="009A7F4C" w:rsidRDefault="00CC0B01" w:rsidP="00D04D8A">
            <w:pPr>
              <w:jc w:val="both"/>
              <w:rPr>
                <w:rFonts w:eastAsia="Times New Roman" w:cs="Times New Roman"/>
                <w:b/>
              </w:rPr>
            </w:pPr>
            <w:r w:rsidRPr="009A7F4C">
              <w:rPr>
                <w:rFonts w:eastAsia="Times New Roman" w:cs="Times New Roman"/>
                <w:b/>
              </w:rPr>
              <w:t>Status</w:t>
            </w:r>
          </w:p>
        </w:tc>
        <w:tc>
          <w:tcPr>
            <w:tcW w:w="1013" w:type="dxa"/>
            <w:shd w:val="clear" w:color="auto" w:fill="auto"/>
          </w:tcPr>
          <w:p w:rsidR="00CC0B01" w:rsidRPr="009A7F4C" w:rsidRDefault="00CC0B01" w:rsidP="00D04D8A">
            <w:pPr>
              <w:jc w:val="center"/>
              <w:rPr>
                <w:rFonts w:eastAsia="Times New Roman" w:cs="Times New Roman"/>
                <w:b/>
              </w:rPr>
            </w:pPr>
            <w:r w:rsidRPr="009A7F4C">
              <w:rPr>
                <w:rFonts w:eastAsia="Times New Roman" w:cs="Times New Roman"/>
                <w:b/>
              </w:rPr>
              <w:t>Initial Budget (£’000)</w:t>
            </w:r>
          </w:p>
        </w:tc>
        <w:tc>
          <w:tcPr>
            <w:tcW w:w="1019" w:type="dxa"/>
          </w:tcPr>
          <w:p w:rsidR="00CC0B01" w:rsidRPr="009A7F4C" w:rsidRDefault="00CC0B01" w:rsidP="00D04D8A">
            <w:pPr>
              <w:jc w:val="center"/>
              <w:rPr>
                <w:rFonts w:eastAsia="Times New Roman" w:cs="Times New Roman"/>
                <w:b/>
              </w:rPr>
            </w:pPr>
            <w:r w:rsidRPr="009A7F4C">
              <w:rPr>
                <w:rFonts w:eastAsia="Times New Roman" w:cs="Times New Roman"/>
                <w:b/>
              </w:rPr>
              <w:t xml:space="preserve">Revised </w:t>
            </w:r>
            <w:r>
              <w:rPr>
                <w:rFonts w:eastAsia="Times New Roman" w:cs="Times New Roman"/>
                <w:b/>
              </w:rPr>
              <w:t>Forecast</w:t>
            </w:r>
          </w:p>
          <w:p w:rsidR="00CC0B01" w:rsidRPr="009A7F4C" w:rsidRDefault="00CC0B01" w:rsidP="00D04D8A">
            <w:pPr>
              <w:jc w:val="center"/>
              <w:rPr>
                <w:rFonts w:eastAsia="Times New Roman" w:cs="Times New Roman"/>
                <w:b/>
              </w:rPr>
            </w:pPr>
            <w:r w:rsidRPr="009A7F4C">
              <w:rPr>
                <w:rFonts w:eastAsia="Times New Roman" w:cs="Times New Roman"/>
                <w:b/>
              </w:rPr>
              <w:t>(£’000)</w:t>
            </w:r>
          </w:p>
        </w:tc>
        <w:tc>
          <w:tcPr>
            <w:tcW w:w="1181" w:type="dxa"/>
          </w:tcPr>
          <w:p w:rsidR="00CC0B01" w:rsidRPr="009A7F4C" w:rsidRDefault="007A28DB" w:rsidP="009475FA">
            <w:pPr>
              <w:jc w:val="center"/>
              <w:rPr>
                <w:rFonts w:eastAsia="Times New Roman" w:cs="Times New Roman"/>
                <w:b/>
              </w:rPr>
            </w:pPr>
            <w:r>
              <w:rPr>
                <w:rFonts w:eastAsia="Times New Roman" w:cs="Times New Roman"/>
                <w:b/>
              </w:rPr>
              <w:t>Spend to 3</w:t>
            </w:r>
            <w:r w:rsidR="009475FA">
              <w:rPr>
                <w:rFonts w:eastAsia="Times New Roman" w:cs="Times New Roman"/>
                <w:b/>
              </w:rPr>
              <w:t>0</w:t>
            </w:r>
            <w:r w:rsidR="00CC0B01">
              <w:rPr>
                <w:rFonts w:eastAsia="Times New Roman" w:cs="Times New Roman"/>
                <w:b/>
              </w:rPr>
              <w:t xml:space="preserve"> </w:t>
            </w:r>
            <w:r w:rsidR="009475FA">
              <w:rPr>
                <w:rFonts w:eastAsia="Times New Roman" w:cs="Times New Roman"/>
                <w:b/>
              </w:rPr>
              <w:t>November</w:t>
            </w:r>
            <w:r w:rsidR="002C7350">
              <w:rPr>
                <w:rFonts w:eastAsia="Times New Roman" w:cs="Times New Roman"/>
                <w:b/>
              </w:rPr>
              <w:t xml:space="preserve"> 2019</w:t>
            </w:r>
            <w:r w:rsidR="00CC0B01">
              <w:rPr>
                <w:rFonts w:eastAsia="Times New Roman" w:cs="Times New Roman"/>
                <w:b/>
              </w:rPr>
              <w:t xml:space="preserve"> (£’000)</w:t>
            </w:r>
          </w:p>
        </w:tc>
      </w:tr>
      <w:tr w:rsidR="00A44F57" w:rsidRPr="009A7F4C" w:rsidTr="00EB3615">
        <w:trPr>
          <w:jc w:val="center"/>
        </w:trPr>
        <w:tc>
          <w:tcPr>
            <w:tcW w:w="2210" w:type="dxa"/>
            <w:shd w:val="clear" w:color="auto" w:fill="auto"/>
          </w:tcPr>
          <w:p w:rsidR="00A44F57" w:rsidRPr="009A7F4C" w:rsidRDefault="00A44F57" w:rsidP="00D04D8A">
            <w:pPr>
              <w:spacing w:after="120"/>
              <w:rPr>
                <w:rFonts w:eastAsia="Times New Roman" w:cs="Times New Roman"/>
              </w:rPr>
            </w:pPr>
            <w:r>
              <w:rPr>
                <w:rFonts w:eastAsia="Times New Roman" w:cs="Times New Roman"/>
              </w:rPr>
              <w:t>Lifts</w:t>
            </w:r>
          </w:p>
        </w:tc>
        <w:tc>
          <w:tcPr>
            <w:tcW w:w="2225" w:type="dxa"/>
            <w:shd w:val="clear" w:color="auto" w:fill="auto"/>
          </w:tcPr>
          <w:p w:rsidR="00A44F57" w:rsidRPr="009A7F4C" w:rsidRDefault="00A44F57" w:rsidP="00D04D8A">
            <w:pPr>
              <w:spacing w:after="120"/>
              <w:rPr>
                <w:rFonts w:eastAsia="Times New Roman" w:cs="Times New Roman"/>
              </w:rPr>
            </w:pPr>
            <w:r>
              <w:rPr>
                <w:rFonts w:eastAsia="Times New Roman" w:cs="Times New Roman"/>
              </w:rPr>
              <w:t>Replace disabled access lifts in the Tower Building and Business Centre</w:t>
            </w:r>
          </w:p>
        </w:tc>
        <w:tc>
          <w:tcPr>
            <w:tcW w:w="2216" w:type="dxa"/>
            <w:vMerge w:val="restart"/>
            <w:shd w:val="clear" w:color="auto" w:fill="auto"/>
            <w:vAlign w:val="center"/>
          </w:tcPr>
          <w:p w:rsidR="00A44F57" w:rsidRPr="0058371C" w:rsidRDefault="00EB3615" w:rsidP="00A44F57">
            <w:pPr>
              <w:spacing w:after="120"/>
              <w:rPr>
                <w:color w:val="000000"/>
                <w:shd w:val="clear" w:color="auto" w:fill="FFFFFF"/>
              </w:rPr>
            </w:pPr>
            <w:r>
              <w:rPr>
                <w:rFonts w:eastAsia="Times New Roman" w:cs="Times New Roman"/>
              </w:rPr>
              <w:t>Tender returned. Works due to start.</w:t>
            </w:r>
          </w:p>
        </w:tc>
        <w:tc>
          <w:tcPr>
            <w:tcW w:w="1013" w:type="dxa"/>
            <w:shd w:val="clear" w:color="auto" w:fill="auto"/>
          </w:tcPr>
          <w:p w:rsidR="00A44F57" w:rsidRPr="00554893" w:rsidRDefault="00A44F57" w:rsidP="00D04D8A">
            <w:pPr>
              <w:jc w:val="right"/>
              <w:rPr>
                <w:rFonts w:eastAsia="Times New Roman" w:cs="Times New Roman"/>
              </w:rPr>
            </w:pPr>
            <w:r>
              <w:rPr>
                <w:rFonts w:eastAsia="Times New Roman" w:cs="Times New Roman"/>
              </w:rPr>
              <w:t>210</w:t>
            </w:r>
          </w:p>
        </w:tc>
        <w:tc>
          <w:tcPr>
            <w:tcW w:w="1019" w:type="dxa"/>
            <w:shd w:val="clear" w:color="auto" w:fill="auto"/>
          </w:tcPr>
          <w:p w:rsidR="00A44F57" w:rsidRPr="007F6D08" w:rsidRDefault="00EB3615" w:rsidP="00D04D8A">
            <w:pPr>
              <w:jc w:val="right"/>
              <w:rPr>
                <w:rFonts w:eastAsia="Times New Roman" w:cs="Times New Roman"/>
              </w:rPr>
            </w:pPr>
            <w:r>
              <w:rPr>
                <w:rFonts w:eastAsia="Times New Roman" w:cs="Times New Roman"/>
              </w:rPr>
              <w:t>155</w:t>
            </w:r>
          </w:p>
        </w:tc>
        <w:tc>
          <w:tcPr>
            <w:tcW w:w="1181" w:type="dxa"/>
            <w:shd w:val="clear" w:color="auto" w:fill="auto"/>
          </w:tcPr>
          <w:p w:rsidR="00A44F57" w:rsidRPr="007F6D08" w:rsidRDefault="00A44F57" w:rsidP="00D04D8A">
            <w:pPr>
              <w:jc w:val="right"/>
              <w:rPr>
                <w:rFonts w:eastAsia="Times New Roman" w:cs="Times New Roman"/>
              </w:rPr>
            </w:pPr>
            <w:r>
              <w:rPr>
                <w:rFonts w:eastAsia="Times New Roman" w:cs="Times New Roman"/>
              </w:rPr>
              <w:t>0</w:t>
            </w:r>
          </w:p>
        </w:tc>
      </w:tr>
      <w:tr w:rsidR="00A44F57" w:rsidRPr="00413A7A" w:rsidTr="00EB3615">
        <w:trPr>
          <w:jc w:val="center"/>
        </w:trPr>
        <w:tc>
          <w:tcPr>
            <w:tcW w:w="2210" w:type="dxa"/>
            <w:shd w:val="clear" w:color="auto" w:fill="auto"/>
          </w:tcPr>
          <w:p w:rsidR="00A44F57" w:rsidRPr="00882305" w:rsidRDefault="00A44F57" w:rsidP="00EF6399">
            <w:pPr>
              <w:rPr>
                <w:rFonts w:eastAsia="Times New Roman" w:cs="Times New Roman"/>
              </w:rPr>
            </w:pPr>
            <w:r>
              <w:rPr>
                <w:rFonts w:eastAsia="Times New Roman" w:cs="Times New Roman"/>
              </w:rPr>
              <w:t>Chiller Plant</w:t>
            </w:r>
          </w:p>
        </w:tc>
        <w:tc>
          <w:tcPr>
            <w:tcW w:w="2225" w:type="dxa"/>
            <w:shd w:val="clear" w:color="auto" w:fill="auto"/>
          </w:tcPr>
          <w:p w:rsidR="00A44F57" w:rsidRPr="00882305" w:rsidRDefault="00A44F57" w:rsidP="00D04D8A">
            <w:pPr>
              <w:rPr>
                <w:rFonts w:eastAsia="Times New Roman" w:cs="Times New Roman"/>
              </w:rPr>
            </w:pPr>
            <w:r>
              <w:rPr>
                <w:rFonts w:eastAsia="Times New Roman" w:cs="Times New Roman"/>
              </w:rPr>
              <w:t xml:space="preserve">Chiller plant and AHU across </w:t>
            </w:r>
            <w:proofErr w:type="spellStart"/>
            <w:r>
              <w:rPr>
                <w:rFonts w:eastAsia="Times New Roman" w:cs="Times New Roman"/>
              </w:rPr>
              <w:t>Cardonald</w:t>
            </w:r>
            <w:proofErr w:type="spellEnd"/>
            <w:r>
              <w:rPr>
                <w:rFonts w:eastAsia="Times New Roman" w:cs="Times New Roman"/>
              </w:rPr>
              <w:t xml:space="preserve"> Campus Tower Building</w:t>
            </w:r>
          </w:p>
        </w:tc>
        <w:tc>
          <w:tcPr>
            <w:tcW w:w="2216" w:type="dxa"/>
            <w:vMerge/>
            <w:shd w:val="clear" w:color="auto" w:fill="auto"/>
          </w:tcPr>
          <w:p w:rsidR="00A44F57" w:rsidRPr="00113B9E" w:rsidRDefault="00A44F57" w:rsidP="00D04D8A">
            <w:pPr>
              <w:rPr>
                <w:rFonts w:eastAsia="Times New Roman" w:cs="Times New Roman"/>
              </w:rPr>
            </w:pPr>
          </w:p>
        </w:tc>
        <w:tc>
          <w:tcPr>
            <w:tcW w:w="1013" w:type="dxa"/>
            <w:shd w:val="clear" w:color="auto" w:fill="auto"/>
          </w:tcPr>
          <w:p w:rsidR="00A44F57" w:rsidRPr="00882305" w:rsidRDefault="00A44F57" w:rsidP="00D04D8A">
            <w:pPr>
              <w:jc w:val="right"/>
              <w:rPr>
                <w:rFonts w:eastAsia="Times New Roman" w:cs="Times New Roman"/>
              </w:rPr>
            </w:pPr>
            <w:r>
              <w:rPr>
                <w:rFonts w:eastAsia="Times New Roman" w:cs="Times New Roman"/>
              </w:rPr>
              <w:t>880</w:t>
            </w:r>
          </w:p>
        </w:tc>
        <w:tc>
          <w:tcPr>
            <w:tcW w:w="1019" w:type="dxa"/>
            <w:shd w:val="clear" w:color="auto" w:fill="auto"/>
          </w:tcPr>
          <w:p w:rsidR="00A44F57" w:rsidRPr="007F6D08" w:rsidRDefault="00EB3615" w:rsidP="00D04D8A">
            <w:pPr>
              <w:jc w:val="right"/>
              <w:rPr>
                <w:rFonts w:eastAsia="Times New Roman" w:cs="Times New Roman"/>
              </w:rPr>
            </w:pPr>
            <w:r>
              <w:rPr>
                <w:rFonts w:eastAsia="Times New Roman" w:cs="Times New Roman"/>
              </w:rPr>
              <w:t>470</w:t>
            </w:r>
          </w:p>
        </w:tc>
        <w:tc>
          <w:tcPr>
            <w:tcW w:w="1181" w:type="dxa"/>
            <w:shd w:val="clear" w:color="auto" w:fill="auto"/>
          </w:tcPr>
          <w:p w:rsidR="00A44F57" w:rsidRPr="007F6D08" w:rsidRDefault="00EB3615" w:rsidP="00D04D8A">
            <w:pPr>
              <w:jc w:val="right"/>
              <w:rPr>
                <w:rFonts w:eastAsia="Times New Roman" w:cs="Times New Roman"/>
              </w:rPr>
            </w:pPr>
            <w:r>
              <w:rPr>
                <w:rFonts w:eastAsia="Times New Roman" w:cs="Times New Roman"/>
              </w:rPr>
              <w:t>4</w:t>
            </w:r>
            <w:r w:rsidR="00A44F57">
              <w:rPr>
                <w:rFonts w:eastAsia="Times New Roman" w:cs="Times New Roman"/>
              </w:rPr>
              <w:t>0</w:t>
            </w:r>
          </w:p>
        </w:tc>
      </w:tr>
      <w:tr w:rsidR="00A44F57" w:rsidRPr="0058371C" w:rsidTr="00EB3615">
        <w:trPr>
          <w:jc w:val="center"/>
        </w:trPr>
        <w:tc>
          <w:tcPr>
            <w:tcW w:w="2210" w:type="dxa"/>
            <w:shd w:val="clear" w:color="auto" w:fill="auto"/>
          </w:tcPr>
          <w:p w:rsidR="00A44F57" w:rsidRDefault="00A44F57" w:rsidP="00D04D8A">
            <w:pPr>
              <w:spacing w:after="120"/>
              <w:rPr>
                <w:rFonts w:eastAsia="Times New Roman" w:cs="Times New Roman"/>
              </w:rPr>
            </w:pPr>
            <w:r>
              <w:rPr>
                <w:rFonts w:eastAsia="Times New Roman" w:cs="Times New Roman"/>
              </w:rPr>
              <w:t>Roof in Student Area</w:t>
            </w:r>
          </w:p>
        </w:tc>
        <w:tc>
          <w:tcPr>
            <w:tcW w:w="2225" w:type="dxa"/>
            <w:shd w:val="clear" w:color="auto" w:fill="auto"/>
          </w:tcPr>
          <w:p w:rsidR="00A44F57" w:rsidRDefault="00A44F57" w:rsidP="00D04D8A">
            <w:pPr>
              <w:spacing w:after="120"/>
              <w:rPr>
                <w:rFonts w:eastAsia="Times New Roman" w:cs="Times New Roman"/>
              </w:rPr>
            </w:pPr>
            <w:r>
              <w:rPr>
                <w:rFonts w:eastAsia="Times New Roman" w:cs="Times New Roman"/>
              </w:rPr>
              <w:t>Replace remaining flat roof</w:t>
            </w:r>
          </w:p>
        </w:tc>
        <w:tc>
          <w:tcPr>
            <w:tcW w:w="2216" w:type="dxa"/>
            <w:vMerge/>
            <w:shd w:val="clear" w:color="auto" w:fill="auto"/>
          </w:tcPr>
          <w:p w:rsidR="00A44F57" w:rsidRPr="007F6D08" w:rsidRDefault="00A44F57" w:rsidP="00EF6399">
            <w:pPr>
              <w:spacing w:after="120"/>
              <w:rPr>
                <w:color w:val="000000"/>
                <w:shd w:val="clear" w:color="auto" w:fill="FFFFFF"/>
              </w:rPr>
            </w:pPr>
          </w:p>
        </w:tc>
        <w:tc>
          <w:tcPr>
            <w:tcW w:w="1013" w:type="dxa"/>
            <w:shd w:val="clear" w:color="auto" w:fill="auto"/>
          </w:tcPr>
          <w:p w:rsidR="00A44F57" w:rsidRPr="00554893" w:rsidRDefault="00A44F57" w:rsidP="00D04D8A">
            <w:pPr>
              <w:jc w:val="right"/>
              <w:rPr>
                <w:rFonts w:eastAsia="Times New Roman" w:cs="Times New Roman"/>
              </w:rPr>
            </w:pPr>
            <w:r>
              <w:rPr>
                <w:rFonts w:eastAsia="Times New Roman" w:cs="Times New Roman"/>
              </w:rPr>
              <w:t>40</w:t>
            </w:r>
          </w:p>
        </w:tc>
        <w:tc>
          <w:tcPr>
            <w:tcW w:w="1019" w:type="dxa"/>
            <w:shd w:val="clear" w:color="auto" w:fill="auto"/>
          </w:tcPr>
          <w:p w:rsidR="00A44F57" w:rsidRPr="007F6D08" w:rsidRDefault="00EB3615" w:rsidP="007A5444">
            <w:pPr>
              <w:jc w:val="right"/>
              <w:rPr>
                <w:rFonts w:eastAsia="Times New Roman" w:cs="Times New Roman"/>
              </w:rPr>
            </w:pPr>
            <w:r>
              <w:rPr>
                <w:rFonts w:eastAsia="Times New Roman" w:cs="Times New Roman"/>
              </w:rPr>
              <w:t>110</w:t>
            </w:r>
          </w:p>
        </w:tc>
        <w:tc>
          <w:tcPr>
            <w:tcW w:w="1181" w:type="dxa"/>
            <w:shd w:val="clear" w:color="auto" w:fill="auto"/>
          </w:tcPr>
          <w:p w:rsidR="00A44F57" w:rsidRPr="007F6D08" w:rsidRDefault="00A44F57" w:rsidP="007F6D08">
            <w:pPr>
              <w:jc w:val="right"/>
              <w:rPr>
                <w:rFonts w:eastAsia="Times New Roman" w:cs="Times New Roman"/>
              </w:rPr>
            </w:pPr>
            <w:r>
              <w:rPr>
                <w:rFonts w:eastAsia="Times New Roman" w:cs="Times New Roman"/>
              </w:rPr>
              <w:t>0</w:t>
            </w:r>
          </w:p>
        </w:tc>
      </w:tr>
      <w:tr w:rsidR="00EB3615" w:rsidRPr="0058371C" w:rsidTr="002666C3">
        <w:trPr>
          <w:jc w:val="center"/>
        </w:trPr>
        <w:tc>
          <w:tcPr>
            <w:tcW w:w="2210" w:type="dxa"/>
            <w:shd w:val="clear" w:color="auto" w:fill="auto"/>
          </w:tcPr>
          <w:p w:rsidR="00EB3615" w:rsidRDefault="00EB3615" w:rsidP="00EB3615">
            <w:pPr>
              <w:spacing w:after="120"/>
              <w:rPr>
                <w:rFonts w:ascii="Calibri" w:eastAsia="Calibri" w:hAnsi="Calibri" w:cs="Calibri"/>
                <w:color w:val="000000"/>
              </w:rPr>
            </w:pPr>
            <w:r>
              <w:rPr>
                <w:rFonts w:ascii="Calibri" w:eastAsia="Calibri" w:hAnsi="Calibri" w:cs="Calibri"/>
                <w:color w:val="000000"/>
              </w:rPr>
              <w:t>Proposed reallocation to next two high priority items</w:t>
            </w:r>
          </w:p>
          <w:p w:rsidR="00EB3615" w:rsidRDefault="00EB3615" w:rsidP="00EB3615">
            <w:pPr>
              <w:spacing w:after="120"/>
              <w:rPr>
                <w:rFonts w:ascii="Calibri" w:eastAsia="Calibri" w:hAnsi="Calibri" w:cs="Calibri"/>
                <w:color w:val="000000"/>
              </w:rPr>
            </w:pPr>
            <w:r>
              <w:rPr>
                <w:rFonts w:ascii="Calibri" w:eastAsia="Calibri" w:hAnsi="Calibri" w:cs="Calibri"/>
                <w:color w:val="000000"/>
              </w:rPr>
              <w:t xml:space="preserve">1. Boiler/Plan Replacement at Mary Stuart/ </w:t>
            </w:r>
            <w:proofErr w:type="spellStart"/>
            <w:r>
              <w:rPr>
                <w:rFonts w:ascii="Calibri" w:eastAsia="Calibri" w:hAnsi="Calibri" w:cs="Calibri"/>
                <w:color w:val="000000"/>
              </w:rPr>
              <w:t>Litehouse</w:t>
            </w:r>
            <w:proofErr w:type="spellEnd"/>
            <w:r>
              <w:rPr>
                <w:rFonts w:ascii="Calibri" w:eastAsia="Calibri" w:hAnsi="Calibri" w:cs="Calibri"/>
                <w:color w:val="000000"/>
              </w:rPr>
              <w:t xml:space="preserve"> building</w:t>
            </w:r>
          </w:p>
          <w:p w:rsidR="00EB3615" w:rsidRDefault="00EB3615" w:rsidP="00EB3615">
            <w:pPr>
              <w:spacing w:after="120"/>
              <w:rPr>
                <w:rFonts w:ascii="Calibri" w:eastAsia="Calibri" w:hAnsi="Calibri" w:cs="Calibri"/>
                <w:color w:val="000000"/>
              </w:rPr>
            </w:pPr>
            <w:r>
              <w:rPr>
                <w:rFonts w:ascii="Calibri" w:eastAsia="Calibri" w:hAnsi="Calibri" w:cs="Calibri"/>
                <w:color w:val="000000"/>
              </w:rPr>
              <w:t xml:space="preserve">2. Lighting replacement at </w:t>
            </w:r>
            <w:proofErr w:type="spellStart"/>
            <w:r>
              <w:rPr>
                <w:rFonts w:ascii="Calibri" w:eastAsia="Calibri" w:hAnsi="Calibri" w:cs="Calibri"/>
                <w:color w:val="000000"/>
              </w:rPr>
              <w:t>Cardonald</w:t>
            </w:r>
            <w:proofErr w:type="spellEnd"/>
          </w:p>
          <w:p w:rsidR="00EB3615" w:rsidRDefault="00EB3615" w:rsidP="00EB3615">
            <w:pPr>
              <w:spacing w:after="120"/>
              <w:rPr>
                <w:rFonts w:ascii="Calibri" w:eastAsia="Calibri" w:hAnsi="Calibri" w:cs="Calibri"/>
                <w:color w:val="000000"/>
              </w:rPr>
            </w:pPr>
          </w:p>
        </w:tc>
        <w:tc>
          <w:tcPr>
            <w:tcW w:w="2225" w:type="dxa"/>
            <w:shd w:val="clear" w:color="auto" w:fill="auto"/>
          </w:tcPr>
          <w:p w:rsidR="00EB3615" w:rsidRDefault="00EB3615" w:rsidP="00EB3615">
            <w:pPr>
              <w:spacing w:after="120"/>
              <w:rPr>
                <w:rFonts w:ascii="Calibri" w:eastAsia="Calibri" w:hAnsi="Calibri" w:cs="Calibri"/>
                <w:color w:val="000000"/>
              </w:rPr>
            </w:pPr>
          </w:p>
          <w:p w:rsidR="00EB3615" w:rsidRDefault="00EB3615" w:rsidP="00EB3615">
            <w:pPr>
              <w:spacing w:after="120"/>
              <w:rPr>
                <w:rFonts w:ascii="Calibri" w:eastAsia="Calibri" w:hAnsi="Calibri" w:cs="Calibri"/>
                <w:color w:val="000000"/>
              </w:rPr>
            </w:pPr>
          </w:p>
          <w:p w:rsidR="00EB3615" w:rsidRDefault="00EB3615" w:rsidP="00EB3615">
            <w:pPr>
              <w:spacing w:after="120"/>
              <w:rPr>
                <w:rFonts w:ascii="Calibri" w:eastAsia="Calibri" w:hAnsi="Calibri" w:cs="Calibri"/>
                <w:color w:val="000000"/>
              </w:rPr>
            </w:pPr>
            <w:r>
              <w:rPr>
                <w:rFonts w:ascii="Calibri" w:eastAsia="Calibri" w:hAnsi="Calibri" w:cs="Calibri"/>
                <w:color w:val="000000"/>
              </w:rPr>
              <w:t>Very old plant reaching end of useful life</w:t>
            </w:r>
          </w:p>
          <w:p w:rsidR="00EB3615" w:rsidRDefault="00EB3615" w:rsidP="00EB3615">
            <w:pPr>
              <w:spacing w:after="120"/>
              <w:rPr>
                <w:rFonts w:ascii="Calibri" w:eastAsia="Calibri" w:hAnsi="Calibri" w:cs="Calibri"/>
                <w:color w:val="000000"/>
              </w:rPr>
            </w:pPr>
          </w:p>
          <w:p w:rsidR="00EB3615" w:rsidRDefault="00EB3615" w:rsidP="00EB3615">
            <w:pPr>
              <w:spacing w:after="120"/>
              <w:rPr>
                <w:rFonts w:ascii="Calibri" w:eastAsia="Calibri" w:hAnsi="Calibri" w:cs="Calibri"/>
                <w:color w:val="000000"/>
              </w:rPr>
            </w:pPr>
            <w:r>
              <w:rPr>
                <w:rFonts w:ascii="Calibri" w:eastAsia="Calibri" w:hAnsi="Calibri" w:cs="Calibri"/>
                <w:color w:val="000000"/>
              </w:rPr>
              <w:t>Replace with more efficient and effective lighting</w:t>
            </w:r>
          </w:p>
        </w:tc>
        <w:tc>
          <w:tcPr>
            <w:tcW w:w="2216" w:type="dxa"/>
            <w:shd w:val="clear" w:color="auto" w:fill="auto"/>
            <w:vAlign w:val="center"/>
          </w:tcPr>
          <w:p w:rsidR="00EB3615" w:rsidRDefault="00EB3615" w:rsidP="00EB3615">
            <w:pPr>
              <w:rPr>
                <w:rFonts w:ascii="Calibri" w:eastAsia="Calibri" w:hAnsi="Calibri" w:cs="Calibri"/>
                <w:color w:val="000000"/>
              </w:rPr>
            </w:pPr>
            <w:r>
              <w:rPr>
                <w:rFonts w:ascii="Calibri" w:eastAsia="Calibri" w:hAnsi="Calibri" w:cs="Calibri"/>
                <w:color w:val="000000"/>
              </w:rPr>
              <w:t>Request to retain and reallocate these funds to be considered by the Committee</w:t>
            </w:r>
          </w:p>
        </w:tc>
        <w:tc>
          <w:tcPr>
            <w:tcW w:w="1013" w:type="dxa"/>
            <w:shd w:val="clear" w:color="auto" w:fill="auto"/>
          </w:tcPr>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r>
              <w:rPr>
                <w:rFonts w:ascii="Calibri" w:eastAsia="Calibri" w:hAnsi="Calibri" w:cs="Calibri"/>
                <w:color w:val="000000"/>
              </w:rPr>
              <w:t>N/A</w:t>
            </w:r>
          </w:p>
        </w:tc>
        <w:tc>
          <w:tcPr>
            <w:tcW w:w="1019" w:type="dxa"/>
            <w:shd w:val="clear" w:color="auto" w:fill="auto"/>
          </w:tcPr>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r>
              <w:rPr>
                <w:rFonts w:ascii="Calibri" w:eastAsia="Calibri" w:hAnsi="Calibri" w:cs="Calibri"/>
                <w:color w:val="000000"/>
              </w:rPr>
              <w:t>288</w:t>
            </w:r>
          </w:p>
        </w:tc>
        <w:tc>
          <w:tcPr>
            <w:tcW w:w="1181" w:type="dxa"/>
            <w:shd w:val="clear" w:color="auto" w:fill="auto"/>
          </w:tcPr>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p>
          <w:p w:rsidR="00EB3615" w:rsidRDefault="00EB3615" w:rsidP="00EB3615">
            <w:pPr>
              <w:jc w:val="right"/>
              <w:rPr>
                <w:rFonts w:ascii="Calibri" w:eastAsia="Calibri" w:hAnsi="Calibri" w:cs="Calibri"/>
                <w:color w:val="000000"/>
              </w:rPr>
            </w:pPr>
            <w:r>
              <w:rPr>
                <w:rFonts w:ascii="Calibri" w:eastAsia="Calibri" w:hAnsi="Calibri" w:cs="Calibri"/>
                <w:color w:val="000000"/>
              </w:rPr>
              <w:t>0</w:t>
            </w:r>
          </w:p>
          <w:p w:rsidR="00EB3615" w:rsidRDefault="00EB3615" w:rsidP="00EB3615">
            <w:pPr>
              <w:jc w:val="right"/>
              <w:rPr>
                <w:rFonts w:ascii="Calibri" w:eastAsia="Calibri" w:hAnsi="Calibri" w:cs="Calibri"/>
                <w:color w:val="000000"/>
              </w:rPr>
            </w:pPr>
          </w:p>
        </w:tc>
      </w:tr>
      <w:tr w:rsidR="00EB3615" w:rsidRPr="00215921" w:rsidTr="00EB3615">
        <w:trPr>
          <w:jc w:val="center"/>
        </w:trPr>
        <w:tc>
          <w:tcPr>
            <w:tcW w:w="2210" w:type="dxa"/>
            <w:shd w:val="clear" w:color="auto" w:fill="auto"/>
          </w:tcPr>
          <w:p w:rsidR="00EB3615" w:rsidRPr="00215921" w:rsidRDefault="00EB3615" w:rsidP="00EB3615">
            <w:pPr>
              <w:rPr>
                <w:rFonts w:eastAsia="Times New Roman" w:cs="Times New Roman"/>
                <w:b/>
              </w:rPr>
            </w:pPr>
            <w:r w:rsidRPr="00215921">
              <w:rPr>
                <w:rFonts w:eastAsia="Times New Roman" w:cs="Times New Roman"/>
                <w:b/>
              </w:rPr>
              <w:t>Total</w:t>
            </w:r>
          </w:p>
        </w:tc>
        <w:tc>
          <w:tcPr>
            <w:tcW w:w="2225" w:type="dxa"/>
            <w:shd w:val="clear" w:color="auto" w:fill="auto"/>
          </w:tcPr>
          <w:p w:rsidR="00EB3615" w:rsidRPr="00215921" w:rsidRDefault="00EB3615" w:rsidP="00EB3615">
            <w:pPr>
              <w:rPr>
                <w:rFonts w:eastAsia="Times New Roman" w:cs="Times New Roman"/>
                <w:b/>
              </w:rPr>
            </w:pPr>
          </w:p>
        </w:tc>
        <w:tc>
          <w:tcPr>
            <w:tcW w:w="2216" w:type="dxa"/>
          </w:tcPr>
          <w:p w:rsidR="00EB3615" w:rsidRPr="00215921" w:rsidRDefault="00EB3615" w:rsidP="00EB3615">
            <w:pPr>
              <w:rPr>
                <w:rFonts w:eastAsia="Times New Roman" w:cs="Times New Roman"/>
                <w:b/>
              </w:rPr>
            </w:pPr>
          </w:p>
        </w:tc>
        <w:tc>
          <w:tcPr>
            <w:tcW w:w="1013" w:type="dxa"/>
            <w:shd w:val="clear" w:color="auto" w:fill="auto"/>
            <w:vAlign w:val="center"/>
          </w:tcPr>
          <w:p w:rsidR="00EB3615" w:rsidRPr="00215921" w:rsidRDefault="00EB3615" w:rsidP="00EB3615">
            <w:pPr>
              <w:jc w:val="right"/>
              <w:rPr>
                <w:rFonts w:eastAsia="Times New Roman" w:cs="Times New Roman"/>
                <w:b/>
              </w:rPr>
            </w:pPr>
            <w:r>
              <w:rPr>
                <w:rFonts w:eastAsia="Times New Roman" w:cs="Times New Roman"/>
                <w:b/>
              </w:rPr>
              <w:fldChar w:fldCharType="begin"/>
            </w:r>
            <w:r>
              <w:rPr>
                <w:rFonts w:eastAsia="Times New Roman" w:cs="Times New Roman"/>
                <w:b/>
              </w:rPr>
              <w:instrText xml:space="preserve"> =SUM(ABOVE) \# "#,##0;(#,##0)" </w:instrText>
            </w:r>
            <w:r>
              <w:rPr>
                <w:rFonts w:eastAsia="Times New Roman" w:cs="Times New Roman"/>
                <w:b/>
              </w:rPr>
              <w:fldChar w:fldCharType="separate"/>
            </w:r>
            <w:r>
              <w:rPr>
                <w:rFonts w:eastAsia="Times New Roman" w:cs="Times New Roman"/>
                <w:b/>
                <w:noProof/>
              </w:rPr>
              <w:t>1,130</w:t>
            </w:r>
            <w:r>
              <w:rPr>
                <w:rFonts w:eastAsia="Times New Roman" w:cs="Times New Roman"/>
                <w:b/>
              </w:rPr>
              <w:fldChar w:fldCharType="end"/>
            </w:r>
          </w:p>
        </w:tc>
        <w:tc>
          <w:tcPr>
            <w:tcW w:w="1019" w:type="dxa"/>
            <w:shd w:val="clear" w:color="auto" w:fill="auto"/>
          </w:tcPr>
          <w:p w:rsidR="00EB3615" w:rsidRDefault="00EB3615" w:rsidP="00EB3615">
            <w:pPr>
              <w:jc w:val="right"/>
            </w:pPr>
            <w:r w:rsidRPr="00E96C86">
              <w:rPr>
                <w:rFonts w:eastAsia="Times New Roman" w:cs="Times New Roman"/>
                <w:b/>
              </w:rPr>
              <w:fldChar w:fldCharType="begin"/>
            </w:r>
            <w:r w:rsidRPr="00E96C86">
              <w:rPr>
                <w:rFonts w:eastAsia="Times New Roman" w:cs="Times New Roman"/>
                <w:b/>
              </w:rPr>
              <w:instrText xml:space="preserve"> =SUM(ABOVE) \# "#,##0;(#,##0)" </w:instrText>
            </w:r>
            <w:r w:rsidRPr="00E96C86">
              <w:rPr>
                <w:rFonts w:eastAsia="Times New Roman" w:cs="Times New Roman"/>
                <w:b/>
              </w:rPr>
              <w:fldChar w:fldCharType="separate"/>
            </w:r>
            <w:r>
              <w:rPr>
                <w:rFonts w:eastAsia="Times New Roman" w:cs="Times New Roman"/>
                <w:b/>
                <w:noProof/>
              </w:rPr>
              <w:t>1,023</w:t>
            </w:r>
            <w:r w:rsidRPr="00E96C86">
              <w:rPr>
                <w:rFonts w:eastAsia="Times New Roman" w:cs="Times New Roman"/>
                <w:b/>
              </w:rPr>
              <w:fldChar w:fldCharType="end"/>
            </w:r>
          </w:p>
        </w:tc>
        <w:tc>
          <w:tcPr>
            <w:tcW w:w="1181" w:type="dxa"/>
            <w:shd w:val="clear" w:color="auto" w:fill="auto"/>
          </w:tcPr>
          <w:p w:rsidR="00EB3615" w:rsidRDefault="00EB3615" w:rsidP="00EB3615">
            <w:pPr>
              <w:jc w:val="right"/>
            </w:pPr>
            <w:r w:rsidRPr="00E96C86">
              <w:rPr>
                <w:rFonts w:eastAsia="Times New Roman" w:cs="Times New Roman"/>
                <w:b/>
              </w:rPr>
              <w:fldChar w:fldCharType="begin"/>
            </w:r>
            <w:r w:rsidRPr="00E96C86">
              <w:rPr>
                <w:rFonts w:eastAsia="Times New Roman" w:cs="Times New Roman"/>
                <w:b/>
              </w:rPr>
              <w:instrText xml:space="preserve"> =SUM(ABOVE) \# "#,##0;(#,##0)" </w:instrText>
            </w:r>
            <w:r w:rsidRPr="00E96C86">
              <w:rPr>
                <w:rFonts w:eastAsia="Times New Roman" w:cs="Times New Roman"/>
                <w:b/>
              </w:rPr>
              <w:fldChar w:fldCharType="separate"/>
            </w:r>
            <w:r>
              <w:rPr>
                <w:rFonts w:eastAsia="Times New Roman" w:cs="Times New Roman"/>
                <w:b/>
                <w:noProof/>
              </w:rPr>
              <w:t xml:space="preserve">  40</w:t>
            </w:r>
            <w:r w:rsidRPr="00E96C86">
              <w:rPr>
                <w:rFonts w:eastAsia="Times New Roman" w:cs="Times New Roman"/>
                <w:b/>
              </w:rPr>
              <w:fldChar w:fldCharType="end"/>
            </w:r>
          </w:p>
        </w:tc>
      </w:tr>
    </w:tbl>
    <w:p w:rsidR="00516DFB" w:rsidRDefault="00516DFB" w:rsidP="00516DFB">
      <w:pPr>
        <w:pStyle w:val="Paperparalevel2"/>
        <w:numPr>
          <w:ilvl w:val="0"/>
          <w:numId w:val="0"/>
        </w:numPr>
        <w:ind w:left="567"/>
      </w:pPr>
    </w:p>
    <w:p w:rsidR="00EB3615" w:rsidRDefault="00EB3615">
      <w:pPr>
        <w:spacing w:after="200" w:line="276" w:lineRule="auto"/>
      </w:pPr>
      <w:r>
        <w:br w:type="page"/>
      </w:r>
    </w:p>
    <w:p w:rsidR="00EB3615" w:rsidRPr="00EB3615" w:rsidRDefault="00EB3615" w:rsidP="00EB3615">
      <w:pPr>
        <w:pStyle w:val="Paperparalevel2"/>
        <w:ind w:left="1134" w:hanging="567"/>
      </w:pPr>
      <w:r>
        <w:lastRenderedPageBreak/>
        <w:t xml:space="preserve">The three projects previously reported on to the Committee are the Replacement of the Disabled Lifts, Chiller Plant and Flat Roof. All of these works are at the </w:t>
      </w:r>
      <w:proofErr w:type="spellStart"/>
      <w:r>
        <w:t>Cardonald</w:t>
      </w:r>
      <w:proofErr w:type="spellEnd"/>
      <w:r>
        <w:t xml:space="preserve"> campus. Although there is only </w:t>
      </w:r>
      <w:proofErr w:type="gramStart"/>
      <w:r>
        <w:t>a small amount of expenditure against these projects to November 2019, the College have</w:t>
      </w:r>
      <w:proofErr w:type="gramEnd"/>
      <w:r>
        <w:t xml:space="preserve"> concluded the tender process and the works are ready to start on site. The College have confirmed that they will all be completed by end March 2020.</w:t>
      </w:r>
    </w:p>
    <w:p w:rsidR="00AF27C1" w:rsidRDefault="00EB3615" w:rsidP="00EB3615">
      <w:pPr>
        <w:pStyle w:val="Paperparalevel2"/>
        <w:ind w:left="1134" w:hanging="567"/>
      </w:pPr>
      <w:r>
        <w:t xml:space="preserve">The high priority maintenance allocation for Glasgow Clyde College </w:t>
      </w:r>
      <w:r w:rsidR="00AF27C1">
        <w:t>(</w:t>
      </w:r>
      <w:r>
        <w:t>£1</w:t>
      </w:r>
      <w:r w:rsidR="00AF27C1">
        <w:t>,</w:t>
      </w:r>
      <w:r>
        <w:t>023</w:t>
      </w:r>
      <w:r w:rsidR="00AF27C1">
        <w:t xml:space="preserve">,000) </w:t>
      </w:r>
      <w:r>
        <w:t>was allocated to the first three of the projects in the above table. The estimated cost of the first two projects was based upon the earlier condition survey completed in 2014. However, the tender for the three projects has now been</w:t>
      </w:r>
      <w:r w:rsidR="00AF27C1">
        <w:t xml:space="preserve"> returned and the overall cost </w:t>
      </w:r>
      <w:r>
        <w:t xml:space="preserve">is </w:t>
      </w:r>
      <w:r w:rsidR="00AF27C1">
        <w:t>much lower (</w:t>
      </w:r>
      <w:r>
        <w:t>£735</w:t>
      </w:r>
      <w:r w:rsidR="00AF27C1">
        <w:t>,000).</w:t>
      </w:r>
    </w:p>
    <w:p w:rsidR="00EB3615" w:rsidRDefault="00EB3615" w:rsidP="00EB3615">
      <w:pPr>
        <w:pStyle w:val="Paperparalevel2"/>
        <w:ind w:left="1134" w:hanging="567"/>
      </w:pPr>
      <w:r>
        <w:t xml:space="preserve">Glasgow Clyde College has </w:t>
      </w:r>
      <w:r w:rsidR="00AF27C1">
        <w:t xml:space="preserve">therefore </w:t>
      </w:r>
      <w:r>
        <w:t xml:space="preserve">requested that it retain </w:t>
      </w:r>
      <w:r w:rsidR="00AF27C1">
        <w:t>the balance (</w:t>
      </w:r>
      <w:r>
        <w:t>£288</w:t>
      </w:r>
      <w:r w:rsidR="00AF27C1">
        <w:t>,000)</w:t>
      </w:r>
      <w:r>
        <w:t xml:space="preserve"> and use this towards the next two highest priority estates maintenance projects. The</w:t>
      </w:r>
      <w:r w:rsidR="00AF27C1">
        <w:t xml:space="preserve"> proposed projects would be the </w:t>
      </w:r>
      <w:r>
        <w:t xml:space="preserve">Replacement of the Boiler Plant that serves the older two buildings at the </w:t>
      </w:r>
      <w:proofErr w:type="spellStart"/>
      <w:r>
        <w:t>Langside</w:t>
      </w:r>
      <w:proofErr w:type="spellEnd"/>
      <w:r>
        <w:t xml:space="preserve"> campus and replacement of lighting at the </w:t>
      </w:r>
      <w:proofErr w:type="spellStart"/>
      <w:r>
        <w:t>Cardonald</w:t>
      </w:r>
      <w:proofErr w:type="spellEnd"/>
      <w:r>
        <w:t xml:space="preserve"> campus to provide more efficient and effective lighting equipment. These are also projects which the College believes can be delivered with a relatively short lead in time to aim to achieve the expenditure by the end of March. The £288k would cover the Boiler Plant Replacement at the Mary Stuart and </w:t>
      </w:r>
      <w:proofErr w:type="spellStart"/>
      <w:r>
        <w:t>Litehouse</w:t>
      </w:r>
      <w:proofErr w:type="spellEnd"/>
      <w:r>
        <w:t xml:space="preserve"> buildings and a proportion of the Replacement Lighting at </w:t>
      </w:r>
      <w:proofErr w:type="spellStart"/>
      <w:r>
        <w:t>Cardonald</w:t>
      </w:r>
      <w:proofErr w:type="spellEnd"/>
      <w:r>
        <w:t xml:space="preserve"> as far as can be met from the remaining balance.</w:t>
      </w:r>
    </w:p>
    <w:p w:rsidR="00EB3615" w:rsidRDefault="00EB3615" w:rsidP="00AF27C1">
      <w:pPr>
        <w:pStyle w:val="Paperparalevel2"/>
        <w:ind w:left="1134" w:hanging="567"/>
      </w:pPr>
      <w:r>
        <w:t>Glasgow Clyde College also received £629,799 towards the cost of lifecycle maintenance.  The lifecycle maintenance grant is critical to ensuring that the College is able to carry out day to day planned and reactive maintenance in respect of all of its campus buildings. The funding contributes significantly to the totality of non-staff related Estates costs at the College. Of this total budget, over £450,000 is allocated to planned and reactive maintenance and the balance is for other essential non-staff premises costs.</w:t>
      </w:r>
    </w:p>
    <w:p w:rsidR="00252D89" w:rsidRDefault="00252D89" w:rsidP="006A546E">
      <w:pPr>
        <w:pStyle w:val="Paperparalevel1"/>
        <w:ind w:left="567" w:hanging="567"/>
      </w:pPr>
      <w:r>
        <w:t>Risk Analysis</w:t>
      </w:r>
    </w:p>
    <w:p w:rsidR="006E1BEA" w:rsidRDefault="0075057B" w:rsidP="00453CFB">
      <w:pPr>
        <w:pStyle w:val="Paperparalevel2"/>
        <w:ind w:left="1134" w:hanging="567"/>
      </w:pPr>
      <w:r w:rsidRPr="0075057B">
        <w:t>The capital plans for Glasgow Clyde College and Glasgow Kelvin College represent a significant capital investment in 201</w:t>
      </w:r>
      <w:r w:rsidR="00516DFB">
        <w:t>9</w:t>
      </w:r>
      <w:r w:rsidRPr="0075057B">
        <w:t>-</w:t>
      </w:r>
      <w:r w:rsidR="00516DFB">
        <w:t>20</w:t>
      </w:r>
      <w:r w:rsidRPr="0075057B">
        <w:t>. The principal risk is that the sum of money is high and the time available for projects to be delivered is limited. This is a challenging environment for colleges to operate in and is compounded by the need to ensure that buildings remain operational during the times that work is taking place.</w:t>
      </w:r>
    </w:p>
    <w:p w:rsidR="00453CFB" w:rsidRDefault="00453CFB" w:rsidP="008D0448">
      <w:pPr>
        <w:pStyle w:val="Paperparalevel1"/>
        <w:ind w:left="567" w:hanging="567"/>
      </w:pPr>
      <w:r>
        <w:t>Equalities Implications</w:t>
      </w:r>
    </w:p>
    <w:p w:rsidR="006E1BEA" w:rsidRDefault="006E1BEA" w:rsidP="006E1BEA">
      <w:pPr>
        <w:pStyle w:val="Paperparalevel2"/>
        <w:ind w:left="1134" w:hanging="567"/>
      </w:pPr>
      <w:r>
        <w:t>There are n</w:t>
      </w:r>
      <w:r w:rsidRPr="000B5273">
        <w:t xml:space="preserve">o </w:t>
      </w:r>
      <w:r>
        <w:t>equalities</w:t>
      </w:r>
      <w:r w:rsidRPr="000B5273">
        <w:t xml:space="preserve"> implications a</w:t>
      </w:r>
      <w:r>
        <w:t>s a direct result of this report. However, the capital grant provided does enable colleges to make improvements, and enhancements, to the facilities for all users.</w:t>
      </w:r>
    </w:p>
    <w:p w:rsidR="00252D89" w:rsidRPr="003D462C" w:rsidRDefault="00252D89" w:rsidP="00915C47">
      <w:pPr>
        <w:pStyle w:val="Paperparalevel1"/>
        <w:ind w:left="567" w:hanging="567"/>
      </w:pPr>
      <w:r w:rsidRPr="008F1A22">
        <w:t>Legal Implications</w:t>
      </w:r>
    </w:p>
    <w:p w:rsidR="00204485" w:rsidRPr="00481CBD" w:rsidRDefault="00204485" w:rsidP="00915C47">
      <w:pPr>
        <w:pStyle w:val="Paperparalevel2"/>
        <w:ind w:left="1134" w:hanging="567"/>
      </w:pPr>
      <w:r w:rsidRPr="00941E02">
        <w:t>No legal</w:t>
      </w:r>
      <w:r w:rsidRPr="00481CBD">
        <w:t xml:space="preserve"> imp</w:t>
      </w:r>
      <w:r w:rsidR="00E60A8B">
        <w:t xml:space="preserve">lications are identified.  </w:t>
      </w:r>
    </w:p>
    <w:p w:rsidR="00252D89" w:rsidRPr="003D462C" w:rsidRDefault="00E17B77" w:rsidP="00915C47">
      <w:pPr>
        <w:pStyle w:val="Paperparalevel1"/>
        <w:ind w:left="567" w:hanging="567"/>
      </w:pPr>
      <w:r>
        <w:t>Resource</w:t>
      </w:r>
      <w:r w:rsidR="00252D89" w:rsidRPr="008F1A22">
        <w:t xml:space="preserve"> Implications</w:t>
      </w:r>
    </w:p>
    <w:p w:rsidR="00252D89" w:rsidRDefault="007931FB" w:rsidP="00915C47">
      <w:pPr>
        <w:pStyle w:val="Paperparalevel2"/>
        <w:ind w:left="1134" w:hanging="567"/>
      </w:pPr>
      <w:r>
        <w:t xml:space="preserve">The financial </w:t>
      </w:r>
      <w:r w:rsidR="00E17B77">
        <w:t>implications are outlined above.</w:t>
      </w:r>
      <w:r w:rsidR="00204485">
        <w:t xml:space="preserve"> </w:t>
      </w:r>
    </w:p>
    <w:p w:rsidR="00252D89" w:rsidRPr="003D462C" w:rsidRDefault="00E17B77" w:rsidP="00915C47">
      <w:pPr>
        <w:pStyle w:val="Paperparalevel1"/>
        <w:ind w:left="567" w:hanging="567"/>
      </w:pPr>
      <w:r>
        <w:lastRenderedPageBreak/>
        <w:t>Strategic Plan</w:t>
      </w:r>
      <w:r w:rsidR="00252D89" w:rsidRPr="008F1A22">
        <w:t xml:space="preserve"> Implications</w:t>
      </w:r>
    </w:p>
    <w:p w:rsidR="006C1A90" w:rsidRDefault="00204485" w:rsidP="006E1BEA">
      <w:pPr>
        <w:pStyle w:val="Paperparalevel2"/>
        <w:ind w:left="1134" w:hanging="567"/>
      </w:pPr>
      <w:r>
        <w:t xml:space="preserve">The provision of high quality learning environments is integral to the </w:t>
      </w:r>
      <w:r w:rsidRPr="00481CBD">
        <w:t xml:space="preserve">delivery of commitments made in </w:t>
      </w:r>
      <w:r w:rsidR="000E4C25">
        <w:t xml:space="preserve">the </w:t>
      </w:r>
      <w:r w:rsidR="00843DD8">
        <w:t xml:space="preserve">Regional Outcome Agreement </w:t>
      </w:r>
      <w:r w:rsidR="000E4C25">
        <w:t>201</w:t>
      </w:r>
      <w:r w:rsidR="007A28DB">
        <w:t>9</w:t>
      </w:r>
      <w:r w:rsidR="000E4C25">
        <w:t>-</w:t>
      </w:r>
      <w:r w:rsidR="007A28DB">
        <w:t>20</w:t>
      </w:r>
      <w:r w:rsidR="000E4C25">
        <w:t xml:space="preserve"> </w:t>
      </w:r>
      <w:r w:rsidR="00843DD8">
        <w:t>and the Regional Strategic Plan 2017-22.</w:t>
      </w:r>
    </w:p>
    <w:sectPr w:rsidR="006C1A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80" w:rsidRDefault="00973B80" w:rsidP="00D20D69">
      <w:r>
        <w:separator/>
      </w:r>
    </w:p>
  </w:endnote>
  <w:endnote w:type="continuationSeparator" w:id="0">
    <w:p w:rsidR="00973B80" w:rsidRDefault="00973B80"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8328"/>
      <w:docPartObj>
        <w:docPartGallery w:val="Page Numbers (Bottom of Page)"/>
        <w:docPartUnique/>
      </w:docPartObj>
    </w:sdtPr>
    <w:sdtEndPr>
      <w:rPr>
        <w:noProof/>
        <w:sz w:val="20"/>
        <w:szCs w:val="20"/>
      </w:rPr>
    </w:sdtEndPr>
    <w:sdtContent>
      <w:p w:rsidR="00D20D69" w:rsidRDefault="00D20D69"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0C0B4E">
          <w:rPr>
            <w:noProof/>
            <w:sz w:val="20"/>
            <w:szCs w:val="20"/>
          </w:rPr>
          <w:t>1</w:t>
        </w:r>
        <w:r w:rsidRPr="00C95C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80" w:rsidRDefault="00973B80" w:rsidP="00D20D69">
      <w:r>
        <w:separator/>
      </w:r>
    </w:p>
  </w:footnote>
  <w:footnote w:type="continuationSeparator" w:id="0">
    <w:p w:rsidR="00973B80" w:rsidRDefault="00973B80" w:rsidP="00D2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54"/>
    <w:multiLevelType w:val="multilevel"/>
    <w:tmpl w:val="F25EA5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CE25AA1"/>
    <w:multiLevelType w:val="multilevel"/>
    <w:tmpl w:val="26EEF6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3">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776479ED"/>
    <w:multiLevelType w:val="multilevel"/>
    <w:tmpl w:val="7D0E2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5"/>
  </w:num>
  <w:num w:numId="2">
    <w:abstractNumId w:val="2"/>
  </w:num>
  <w:num w:numId="3">
    <w:abstractNumId w:val="3"/>
  </w:num>
  <w:num w:numId="4">
    <w:abstractNumId w:val="1"/>
  </w:num>
  <w:num w:numId="5">
    <w:abstractNumId w:val="3"/>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02CB4"/>
    <w:rsid w:val="00021B1E"/>
    <w:rsid w:val="00027486"/>
    <w:rsid w:val="0003574F"/>
    <w:rsid w:val="000416EE"/>
    <w:rsid w:val="000445B8"/>
    <w:rsid w:val="00056CA1"/>
    <w:rsid w:val="000615C0"/>
    <w:rsid w:val="00062AF3"/>
    <w:rsid w:val="00075E01"/>
    <w:rsid w:val="00076738"/>
    <w:rsid w:val="000767EE"/>
    <w:rsid w:val="00077506"/>
    <w:rsid w:val="0007786D"/>
    <w:rsid w:val="00083265"/>
    <w:rsid w:val="0008612A"/>
    <w:rsid w:val="00093F66"/>
    <w:rsid w:val="000A74C8"/>
    <w:rsid w:val="000C0B4E"/>
    <w:rsid w:val="000E4C25"/>
    <w:rsid w:val="00106445"/>
    <w:rsid w:val="00106E06"/>
    <w:rsid w:val="00111636"/>
    <w:rsid w:val="00111E02"/>
    <w:rsid w:val="00116E11"/>
    <w:rsid w:val="00126412"/>
    <w:rsid w:val="001531EB"/>
    <w:rsid w:val="00163814"/>
    <w:rsid w:val="00175630"/>
    <w:rsid w:val="0017645A"/>
    <w:rsid w:val="00193DAE"/>
    <w:rsid w:val="00197F1D"/>
    <w:rsid w:val="001C5394"/>
    <w:rsid w:val="001C7B88"/>
    <w:rsid w:val="001D732C"/>
    <w:rsid w:val="001E6C32"/>
    <w:rsid w:val="00201FA4"/>
    <w:rsid w:val="00204485"/>
    <w:rsid w:val="00207D9E"/>
    <w:rsid w:val="00211D32"/>
    <w:rsid w:val="00223621"/>
    <w:rsid w:val="0022485A"/>
    <w:rsid w:val="00225A35"/>
    <w:rsid w:val="002263B4"/>
    <w:rsid w:val="00252D89"/>
    <w:rsid w:val="002537F9"/>
    <w:rsid w:val="00266AE5"/>
    <w:rsid w:val="002702DA"/>
    <w:rsid w:val="00274E3A"/>
    <w:rsid w:val="002773E4"/>
    <w:rsid w:val="0028440A"/>
    <w:rsid w:val="002864EE"/>
    <w:rsid w:val="00287A5F"/>
    <w:rsid w:val="00292A94"/>
    <w:rsid w:val="002A6E15"/>
    <w:rsid w:val="002C3ED7"/>
    <w:rsid w:val="002C7350"/>
    <w:rsid w:val="002E5F93"/>
    <w:rsid w:val="002F2021"/>
    <w:rsid w:val="0033081F"/>
    <w:rsid w:val="003370AF"/>
    <w:rsid w:val="003406F0"/>
    <w:rsid w:val="00344FFC"/>
    <w:rsid w:val="0035115C"/>
    <w:rsid w:val="00352A49"/>
    <w:rsid w:val="00365F13"/>
    <w:rsid w:val="00366892"/>
    <w:rsid w:val="003742D9"/>
    <w:rsid w:val="003832FC"/>
    <w:rsid w:val="003834FF"/>
    <w:rsid w:val="00390834"/>
    <w:rsid w:val="00397A6C"/>
    <w:rsid w:val="003B511B"/>
    <w:rsid w:val="003B7CC3"/>
    <w:rsid w:val="003D3ADE"/>
    <w:rsid w:val="003D6059"/>
    <w:rsid w:val="003F002A"/>
    <w:rsid w:val="00413A7A"/>
    <w:rsid w:val="00422E1E"/>
    <w:rsid w:val="004534D0"/>
    <w:rsid w:val="00453CFB"/>
    <w:rsid w:val="00460B03"/>
    <w:rsid w:val="0048452D"/>
    <w:rsid w:val="004A7536"/>
    <w:rsid w:val="004B7B07"/>
    <w:rsid w:val="004D5E7D"/>
    <w:rsid w:val="004D65EE"/>
    <w:rsid w:val="004E137E"/>
    <w:rsid w:val="004E44DF"/>
    <w:rsid w:val="004F485A"/>
    <w:rsid w:val="004F6BA6"/>
    <w:rsid w:val="00516DFB"/>
    <w:rsid w:val="00531ECE"/>
    <w:rsid w:val="005427B9"/>
    <w:rsid w:val="00544DC8"/>
    <w:rsid w:val="00554893"/>
    <w:rsid w:val="00572A83"/>
    <w:rsid w:val="00581734"/>
    <w:rsid w:val="00594FF5"/>
    <w:rsid w:val="005A3C0C"/>
    <w:rsid w:val="005A61E8"/>
    <w:rsid w:val="005F5312"/>
    <w:rsid w:val="005F78B3"/>
    <w:rsid w:val="00616D30"/>
    <w:rsid w:val="006259E2"/>
    <w:rsid w:val="00640B80"/>
    <w:rsid w:val="00642BD1"/>
    <w:rsid w:val="00644162"/>
    <w:rsid w:val="00652B6D"/>
    <w:rsid w:val="0065423E"/>
    <w:rsid w:val="0067388B"/>
    <w:rsid w:val="00675948"/>
    <w:rsid w:val="00675B14"/>
    <w:rsid w:val="00693875"/>
    <w:rsid w:val="006A546E"/>
    <w:rsid w:val="006A5780"/>
    <w:rsid w:val="006B3A95"/>
    <w:rsid w:val="006C1A90"/>
    <w:rsid w:val="006C2AAA"/>
    <w:rsid w:val="006D3141"/>
    <w:rsid w:val="006E1BEA"/>
    <w:rsid w:val="006F05E3"/>
    <w:rsid w:val="006F40EC"/>
    <w:rsid w:val="00712ABD"/>
    <w:rsid w:val="00724CAC"/>
    <w:rsid w:val="007251B8"/>
    <w:rsid w:val="00735BFD"/>
    <w:rsid w:val="0074640E"/>
    <w:rsid w:val="0075057B"/>
    <w:rsid w:val="007534EC"/>
    <w:rsid w:val="00753E93"/>
    <w:rsid w:val="00763607"/>
    <w:rsid w:val="00772A72"/>
    <w:rsid w:val="00786B8A"/>
    <w:rsid w:val="007931FB"/>
    <w:rsid w:val="007A28DB"/>
    <w:rsid w:val="007A2BF4"/>
    <w:rsid w:val="007A413B"/>
    <w:rsid w:val="007A5444"/>
    <w:rsid w:val="007B6217"/>
    <w:rsid w:val="007E149F"/>
    <w:rsid w:val="007E1F7F"/>
    <w:rsid w:val="007E39A7"/>
    <w:rsid w:val="007F2B77"/>
    <w:rsid w:val="007F3164"/>
    <w:rsid w:val="007F4CB3"/>
    <w:rsid w:val="007F673B"/>
    <w:rsid w:val="007F6D08"/>
    <w:rsid w:val="00813033"/>
    <w:rsid w:val="00815F48"/>
    <w:rsid w:val="00830647"/>
    <w:rsid w:val="00834471"/>
    <w:rsid w:val="00843DD8"/>
    <w:rsid w:val="00865741"/>
    <w:rsid w:val="00865DBF"/>
    <w:rsid w:val="00867D39"/>
    <w:rsid w:val="008739C4"/>
    <w:rsid w:val="00877E43"/>
    <w:rsid w:val="00882305"/>
    <w:rsid w:val="00883CF3"/>
    <w:rsid w:val="00884E18"/>
    <w:rsid w:val="00890495"/>
    <w:rsid w:val="008918D0"/>
    <w:rsid w:val="00892249"/>
    <w:rsid w:val="008B3C68"/>
    <w:rsid w:val="008B76F3"/>
    <w:rsid w:val="008D0448"/>
    <w:rsid w:val="008D113C"/>
    <w:rsid w:val="008D2770"/>
    <w:rsid w:val="008E05E8"/>
    <w:rsid w:val="008E43E3"/>
    <w:rsid w:val="008E4446"/>
    <w:rsid w:val="00911590"/>
    <w:rsid w:val="00915C47"/>
    <w:rsid w:val="009201D5"/>
    <w:rsid w:val="009306BD"/>
    <w:rsid w:val="00931561"/>
    <w:rsid w:val="00933D9E"/>
    <w:rsid w:val="009475FA"/>
    <w:rsid w:val="00954DD4"/>
    <w:rsid w:val="0096317E"/>
    <w:rsid w:val="00964CE0"/>
    <w:rsid w:val="0096777D"/>
    <w:rsid w:val="00973B80"/>
    <w:rsid w:val="00975F89"/>
    <w:rsid w:val="0097766A"/>
    <w:rsid w:val="009A6B32"/>
    <w:rsid w:val="009A7F4C"/>
    <w:rsid w:val="009B142A"/>
    <w:rsid w:val="009B1A62"/>
    <w:rsid w:val="009B295E"/>
    <w:rsid w:val="009D2B5C"/>
    <w:rsid w:val="009F438F"/>
    <w:rsid w:val="00A246A4"/>
    <w:rsid w:val="00A258D6"/>
    <w:rsid w:val="00A41110"/>
    <w:rsid w:val="00A44F57"/>
    <w:rsid w:val="00A47281"/>
    <w:rsid w:val="00A86C69"/>
    <w:rsid w:val="00AA7203"/>
    <w:rsid w:val="00AB4634"/>
    <w:rsid w:val="00AB7E03"/>
    <w:rsid w:val="00AE0A70"/>
    <w:rsid w:val="00AE1F8B"/>
    <w:rsid w:val="00AF27C1"/>
    <w:rsid w:val="00B05EAD"/>
    <w:rsid w:val="00B079A6"/>
    <w:rsid w:val="00B26655"/>
    <w:rsid w:val="00B27588"/>
    <w:rsid w:val="00B3233B"/>
    <w:rsid w:val="00B40792"/>
    <w:rsid w:val="00B83522"/>
    <w:rsid w:val="00BB3EC5"/>
    <w:rsid w:val="00BC37F4"/>
    <w:rsid w:val="00BD4D09"/>
    <w:rsid w:val="00C014B6"/>
    <w:rsid w:val="00C37B8F"/>
    <w:rsid w:val="00C435DC"/>
    <w:rsid w:val="00C7608B"/>
    <w:rsid w:val="00C94BD9"/>
    <w:rsid w:val="00C9502D"/>
    <w:rsid w:val="00CC0B01"/>
    <w:rsid w:val="00CC0DC0"/>
    <w:rsid w:val="00CC1743"/>
    <w:rsid w:val="00CC378C"/>
    <w:rsid w:val="00CD23A4"/>
    <w:rsid w:val="00CD4E98"/>
    <w:rsid w:val="00CF72DD"/>
    <w:rsid w:val="00D04BAC"/>
    <w:rsid w:val="00D07CA7"/>
    <w:rsid w:val="00D1043F"/>
    <w:rsid w:val="00D20D69"/>
    <w:rsid w:val="00D31224"/>
    <w:rsid w:val="00D56383"/>
    <w:rsid w:val="00D70947"/>
    <w:rsid w:val="00D7406C"/>
    <w:rsid w:val="00DA0885"/>
    <w:rsid w:val="00DA6DB3"/>
    <w:rsid w:val="00DB01B2"/>
    <w:rsid w:val="00DC5DEA"/>
    <w:rsid w:val="00DD036D"/>
    <w:rsid w:val="00DD1B0D"/>
    <w:rsid w:val="00DD33DE"/>
    <w:rsid w:val="00DD48C1"/>
    <w:rsid w:val="00DD72FC"/>
    <w:rsid w:val="00DF1C61"/>
    <w:rsid w:val="00E00D1B"/>
    <w:rsid w:val="00E17B77"/>
    <w:rsid w:val="00E22884"/>
    <w:rsid w:val="00E27C87"/>
    <w:rsid w:val="00E27D05"/>
    <w:rsid w:val="00E42025"/>
    <w:rsid w:val="00E50762"/>
    <w:rsid w:val="00E54976"/>
    <w:rsid w:val="00E60A8B"/>
    <w:rsid w:val="00E84CB0"/>
    <w:rsid w:val="00E93341"/>
    <w:rsid w:val="00EB3615"/>
    <w:rsid w:val="00EB766F"/>
    <w:rsid w:val="00EC3A1F"/>
    <w:rsid w:val="00EE30B2"/>
    <w:rsid w:val="00EF01E2"/>
    <w:rsid w:val="00EF17B2"/>
    <w:rsid w:val="00EF6399"/>
    <w:rsid w:val="00F005B8"/>
    <w:rsid w:val="00F05316"/>
    <w:rsid w:val="00F06E9B"/>
    <w:rsid w:val="00F22D5F"/>
    <w:rsid w:val="00F252DC"/>
    <w:rsid w:val="00F34EDB"/>
    <w:rsid w:val="00F373AB"/>
    <w:rsid w:val="00F412D3"/>
    <w:rsid w:val="00F51F06"/>
    <w:rsid w:val="00F53A87"/>
    <w:rsid w:val="00F621E9"/>
    <w:rsid w:val="00F62DCC"/>
    <w:rsid w:val="00F82955"/>
    <w:rsid w:val="00F85D85"/>
    <w:rsid w:val="00FB2E19"/>
    <w:rsid w:val="00FC76D0"/>
    <w:rsid w:val="00FD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3"/>
      </w:numPr>
      <w:spacing w:after="24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paragraph" w:styleId="FootnoteText">
    <w:name w:val="footnote text"/>
    <w:basedOn w:val="Normal"/>
    <w:link w:val="FootnoteTextChar"/>
    <w:uiPriority w:val="99"/>
    <w:semiHidden/>
    <w:unhideWhenUsed/>
    <w:rsid w:val="00544DC8"/>
    <w:rPr>
      <w:sz w:val="20"/>
      <w:szCs w:val="20"/>
    </w:rPr>
  </w:style>
  <w:style w:type="character" w:customStyle="1" w:styleId="FootnoteTextChar">
    <w:name w:val="Footnote Text Char"/>
    <w:basedOn w:val="DefaultParagraphFont"/>
    <w:link w:val="FootnoteText"/>
    <w:uiPriority w:val="99"/>
    <w:semiHidden/>
    <w:rsid w:val="00544DC8"/>
    <w:rPr>
      <w:sz w:val="20"/>
      <w:szCs w:val="20"/>
    </w:rPr>
  </w:style>
  <w:style w:type="character" w:styleId="FootnoteReference">
    <w:name w:val="footnote reference"/>
    <w:basedOn w:val="DefaultParagraphFont"/>
    <w:uiPriority w:val="99"/>
    <w:semiHidden/>
    <w:unhideWhenUsed/>
    <w:rsid w:val="00544DC8"/>
    <w:rPr>
      <w:vertAlign w:val="superscript"/>
    </w:rPr>
  </w:style>
  <w:style w:type="table" w:styleId="TableGrid">
    <w:name w:val="Table Grid"/>
    <w:basedOn w:val="TableNormal"/>
    <w:uiPriority w:val="59"/>
    <w:rsid w:val="009A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9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14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53CF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3"/>
      </w:numPr>
      <w:spacing w:after="24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paragraph" w:styleId="FootnoteText">
    <w:name w:val="footnote text"/>
    <w:basedOn w:val="Normal"/>
    <w:link w:val="FootnoteTextChar"/>
    <w:uiPriority w:val="99"/>
    <w:semiHidden/>
    <w:unhideWhenUsed/>
    <w:rsid w:val="00544DC8"/>
    <w:rPr>
      <w:sz w:val="20"/>
      <w:szCs w:val="20"/>
    </w:rPr>
  </w:style>
  <w:style w:type="character" w:customStyle="1" w:styleId="FootnoteTextChar">
    <w:name w:val="Footnote Text Char"/>
    <w:basedOn w:val="DefaultParagraphFont"/>
    <w:link w:val="FootnoteText"/>
    <w:uiPriority w:val="99"/>
    <w:semiHidden/>
    <w:rsid w:val="00544DC8"/>
    <w:rPr>
      <w:sz w:val="20"/>
      <w:szCs w:val="20"/>
    </w:rPr>
  </w:style>
  <w:style w:type="character" w:styleId="FootnoteReference">
    <w:name w:val="footnote reference"/>
    <w:basedOn w:val="DefaultParagraphFont"/>
    <w:uiPriority w:val="99"/>
    <w:semiHidden/>
    <w:unhideWhenUsed/>
    <w:rsid w:val="00544DC8"/>
    <w:rPr>
      <w:vertAlign w:val="superscript"/>
    </w:rPr>
  </w:style>
  <w:style w:type="table" w:styleId="TableGrid">
    <w:name w:val="Table Grid"/>
    <w:basedOn w:val="TableNormal"/>
    <w:uiPriority w:val="59"/>
    <w:rsid w:val="009A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9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14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53CF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788">
      <w:bodyDiv w:val="1"/>
      <w:marLeft w:val="0"/>
      <w:marRight w:val="0"/>
      <w:marTop w:val="0"/>
      <w:marBottom w:val="0"/>
      <w:divBdr>
        <w:top w:val="none" w:sz="0" w:space="0" w:color="auto"/>
        <w:left w:val="none" w:sz="0" w:space="0" w:color="auto"/>
        <w:bottom w:val="none" w:sz="0" w:space="0" w:color="auto"/>
        <w:right w:val="none" w:sz="0" w:space="0" w:color="auto"/>
      </w:divBdr>
    </w:div>
    <w:div w:id="147718514">
      <w:bodyDiv w:val="1"/>
      <w:marLeft w:val="0"/>
      <w:marRight w:val="0"/>
      <w:marTop w:val="0"/>
      <w:marBottom w:val="0"/>
      <w:divBdr>
        <w:top w:val="none" w:sz="0" w:space="0" w:color="auto"/>
        <w:left w:val="none" w:sz="0" w:space="0" w:color="auto"/>
        <w:bottom w:val="none" w:sz="0" w:space="0" w:color="auto"/>
        <w:right w:val="none" w:sz="0" w:space="0" w:color="auto"/>
      </w:divBdr>
    </w:div>
    <w:div w:id="271253692">
      <w:bodyDiv w:val="1"/>
      <w:marLeft w:val="0"/>
      <w:marRight w:val="0"/>
      <w:marTop w:val="0"/>
      <w:marBottom w:val="0"/>
      <w:divBdr>
        <w:top w:val="none" w:sz="0" w:space="0" w:color="auto"/>
        <w:left w:val="none" w:sz="0" w:space="0" w:color="auto"/>
        <w:bottom w:val="none" w:sz="0" w:space="0" w:color="auto"/>
        <w:right w:val="none" w:sz="0" w:space="0" w:color="auto"/>
      </w:divBdr>
    </w:div>
    <w:div w:id="459349831">
      <w:bodyDiv w:val="1"/>
      <w:marLeft w:val="0"/>
      <w:marRight w:val="0"/>
      <w:marTop w:val="0"/>
      <w:marBottom w:val="0"/>
      <w:divBdr>
        <w:top w:val="none" w:sz="0" w:space="0" w:color="auto"/>
        <w:left w:val="none" w:sz="0" w:space="0" w:color="auto"/>
        <w:bottom w:val="none" w:sz="0" w:space="0" w:color="auto"/>
        <w:right w:val="none" w:sz="0" w:space="0" w:color="auto"/>
      </w:divBdr>
    </w:div>
    <w:div w:id="508107600">
      <w:bodyDiv w:val="1"/>
      <w:marLeft w:val="0"/>
      <w:marRight w:val="0"/>
      <w:marTop w:val="0"/>
      <w:marBottom w:val="0"/>
      <w:divBdr>
        <w:top w:val="none" w:sz="0" w:space="0" w:color="auto"/>
        <w:left w:val="none" w:sz="0" w:space="0" w:color="auto"/>
        <w:bottom w:val="none" w:sz="0" w:space="0" w:color="auto"/>
        <w:right w:val="none" w:sz="0" w:space="0" w:color="auto"/>
      </w:divBdr>
    </w:div>
    <w:div w:id="539365141">
      <w:bodyDiv w:val="1"/>
      <w:marLeft w:val="0"/>
      <w:marRight w:val="0"/>
      <w:marTop w:val="0"/>
      <w:marBottom w:val="0"/>
      <w:divBdr>
        <w:top w:val="none" w:sz="0" w:space="0" w:color="auto"/>
        <w:left w:val="none" w:sz="0" w:space="0" w:color="auto"/>
        <w:bottom w:val="none" w:sz="0" w:space="0" w:color="auto"/>
        <w:right w:val="none" w:sz="0" w:space="0" w:color="auto"/>
      </w:divBdr>
    </w:div>
    <w:div w:id="577596808">
      <w:bodyDiv w:val="1"/>
      <w:marLeft w:val="0"/>
      <w:marRight w:val="0"/>
      <w:marTop w:val="0"/>
      <w:marBottom w:val="0"/>
      <w:divBdr>
        <w:top w:val="none" w:sz="0" w:space="0" w:color="auto"/>
        <w:left w:val="none" w:sz="0" w:space="0" w:color="auto"/>
        <w:bottom w:val="none" w:sz="0" w:space="0" w:color="auto"/>
        <w:right w:val="none" w:sz="0" w:space="0" w:color="auto"/>
      </w:divBdr>
    </w:div>
    <w:div w:id="618299306">
      <w:bodyDiv w:val="1"/>
      <w:marLeft w:val="0"/>
      <w:marRight w:val="0"/>
      <w:marTop w:val="0"/>
      <w:marBottom w:val="0"/>
      <w:divBdr>
        <w:top w:val="none" w:sz="0" w:space="0" w:color="auto"/>
        <w:left w:val="none" w:sz="0" w:space="0" w:color="auto"/>
        <w:bottom w:val="none" w:sz="0" w:space="0" w:color="auto"/>
        <w:right w:val="none" w:sz="0" w:space="0" w:color="auto"/>
      </w:divBdr>
    </w:div>
    <w:div w:id="642197234">
      <w:bodyDiv w:val="1"/>
      <w:marLeft w:val="0"/>
      <w:marRight w:val="0"/>
      <w:marTop w:val="0"/>
      <w:marBottom w:val="0"/>
      <w:divBdr>
        <w:top w:val="none" w:sz="0" w:space="0" w:color="auto"/>
        <w:left w:val="none" w:sz="0" w:space="0" w:color="auto"/>
        <w:bottom w:val="none" w:sz="0" w:space="0" w:color="auto"/>
        <w:right w:val="none" w:sz="0" w:space="0" w:color="auto"/>
      </w:divBdr>
    </w:div>
    <w:div w:id="650597276">
      <w:bodyDiv w:val="1"/>
      <w:marLeft w:val="0"/>
      <w:marRight w:val="0"/>
      <w:marTop w:val="0"/>
      <w:marBottom w:val="0"/>
      <w:divBdr>
        <w:top w:val="none" w:sz="0" w:space="0" w:color="auto"/>
        <w:left w:val="none" w:sz="0" w:space="0" w:color="auto"/>
        <w:bottom w:val="none" w:sz="0" w:space="0" w:color="auto"/>
        <w:right w:val="none" w:sz="0" w:space="0" w:color="auto"/>
      </w:divBdr>
    </w:div>
    <w:div w:id="718168433">
      <w:bodyDiv w:val="1"/>
      <w:marLeft w:val="0"/>
      <w:marRight w:val="0"/>
      <w:marTop w:val="0"/>
      <w:marBottom w:val="0"/>
      <w:divBdr>
        <w:top w:val="none" w:sz="0" w:space="0" w:color="auto"/>
        <w:left w:val="none" w:sz="0" w:space="0" w:color="auto"/>
        <w:bottom w:val="none" w:sz="0" w:space="0" w:color="auto"/>
        <w:right w:val="none" w:sz="0" w:space="0" w:color="auto"/>
      </w:divBdr>
      <w:divsChild>
        <w:div w:id="6812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73247">
              <w:marLeft w:val="0"/>
              <w:marRight w:val="0"/>
              <w:marTop w:val="0"/>
              <w:marBottom w:val="0"/>
              <w:divBdr>
                <w:top w:val="none" w:sz="0" w:space="0" w:color="auto"/>
                <w:left w:val="none" w:sz="0" w:space="0" w:color="auto"/>
                <w:bottom w:val="none" w:sz="0" w:space="0" w:color="auto"/>
                <w:right w:val="none" w:sz="0" w:space="0" w:color="auto"/>
              </w:divBdr>
              <w:divsChild>
                <w:div w:id="1994410084">
                  <w:marLeft w:val="0"/>
                  <w:marRight w:val="0"/>
                  <w:marTop w:val="0"/>
                  <w:marBottom w:val="0"/>
                  <w:divBdr>
                    <w:top w:val="none" w:sz="0" w:space="0" w:color="auto"/>
                    <w:left w:val="none" w:sz="0" w:space="0" w:color="auto"/>
                    <w:bottom w:val="none" w:sz="0" w:space="0" w:color="auto"/>
                    <w:right w:val="none" w:sz="0" w:space="0" w:color="auto"/>
                  </w:divBdr>
                  <w:divsChild>
                    <w:div w:id="1266108600">
                      <w:marLeft w:val="0"/>
                      <w:marRight w:val="0"/>
                      <w:marTop w:val="0"/>
                      <w:marBottom w:val="0"/>
                      <w:divBdr>
                        <w:top w:val="none" w:sz="0" w:space="0" w:color="auto"/>
                        <w:left w:val="none" w:sz="0" w:space="0" w:color="auto"/>
                        <w:bottom w:val="none" w:sz="0" w:space="0" w:color="auto"/>
                        <w:right w:val="none" w:sz="0" w:space="0" w:color="auto"/>
                      </w:divBdr>
                    </w:div>
                    <w:div w:id="1330865069">
                      <w:marLeft w:val="0"/>
                      <w:marRight w:val="0"/>
                      <w:marTop w:val="0"/>
                      <w:marBottom w:val="0"/>
                      <w:divBdr>
                        <w:top w:val="none" w:sz="0" w:space="0" w:color="auto"/>
                        <w:left w:val="none" w:sz="0" w:space="0" w:color="auto"/>
                        <w:bottom w:val="none" w:sz="0" w:space="0" w:color="auto"/>
                        <w:right w:val="none" w:sz="0" w:space="0" w:color="auto"/>
                      </w:divBdr>
                    </w:div>
                    <w:div w:id="255677673">
                      <w:marLeft w:val="0"/>
                      <w:marRight w:val="0"/>
                      <w:marTop w:val="0"/>
                      <w:marBottom w:val="0"/>
                      <w:divBdr>
                        <w:top w:val="none" w:sz="0" w:space="0" w:color="auto"/>
                        <w:left w:val="none" w:sz="0" w:space="0" w:color="auto"/>
                        <w:bottom w:val="none" w:sz="0" w:space="0" w:color="auto"/>
                        <w:right w:val="none" w:sz="0" w:space="0" w:color="auto"/>
                      </w:divBdr>
                    </w:div>
                    <w:div w:id="380397980">
                      <w:marLeft w:val="0"/>
                      <w:marRight w:val="0"/>
                      <w:marTop w:val="0"/>
                      <w:marBottom w:val="0"/>
                      <w:divBdr>
                        <w:top w:val="none" w:sz="0" w:space="0" w:color="auto"/>
                        <w:left w:val="none" w:sz="0" w:space="0" w:color="auto"/>
                        <w:bottom w:val="none" w:sz="0" w:space="0" w:color="auto"/>
                        <w:right w:val="none" w:sz="0" w:space="0" w:color="auto"/>
                      </w:divBdr>
                    </w:div>
                    <w:div w:id="727995576">
                      <w:marLeft w:val="0"/>
                      <w:marRight w:val="0"/>
                      <w:marTop w:val="0"/>
                      <w:marBottom w:val="0"/>
                      <w:divBdr>
                        <w:top w:val="none" w:sz="0" w:space="0" w:color="auto"/>
                        <w:left w:val="none" w:sz="0" w:space="0" w:color="auto"/>
                        <w:bottom w:val="none" w:sz="0" w:space="0" w:color="auto"/>
                        <w:right w:val="none" w:sz="0" w:space="0" w:color="auto"/>
                      </w:divBdr>
                    </w:div>
                    <w:div w:id="952638350">
                      <w:marLeft w:val="0"/>
                      <w:marRight w:val="0"/>
                      <w:marTop w:val="0"/>
                      <w:marBottom w:val="0"/>
                      <w:divBdr>
                        <w:top w:val="none" w:sz="0" w:space="0" w:color="auto"/>
                        <w:left w:val="none" w:sz="0" w:space="0" w:color="auto"/>
                        <w:bottom w:val="none" w:sz="0" w:space="0" w:color="auto"/>
                        <w:right w:val="none" w:sz="0" w:space="0" w:color="auto"/>
                      </w:divBdr>
                    </w:div>
                    <w:div w:id="771896125">
                      <w:marLeft w:val="0"/>
                      <w:marRight w:val="0"/>
                      <w:marTop w:val="0"/>
                      <w:marBottom w:val="0"/>
                      <w:divBdr>
                        <w:top w:val="none" w:sz="0" w:space="0" w:color="auto"/>
                        <w:left w:val="none" w:sz="0" w:space="0" w:color="auto"/>
                        <w:bottom w:val="none" w:sz="0" w:space="0" w:color="auto"/>
                        <w:right w:val="none" w:sz="0" w:space="0" w:color="auto"/>
                      </w:divBdr>
                    </w:div>
                    <w:div w:id="1320766287">
                      <w:marLeft w:val="0"/>
                      <w:marRight w:val="0"/>
                      <w:marTop w:val="0"/>
                      <w:marBottom w:val="0"/>
                      <w:divBdr>
                        <w:top w:val="none" w:sz="0" w:space="0" w:color="auto"/>
                        <w:left w:val="none" w:sz="0" w:space="0" w:color="auto"/>
                        <w:bottom w:val="none" w:sz="0" w:space="0" w:color="auto"/>
                        <w:right w:val="none" w:sz="0" w:space="0" w:color="auto"/>
                      </w:divBdr>
                    </w:div>
                    <w:div w:id="854613385">
                      <w:marLeft w:val="0"/>
                      <w:marRight w:val="0"/>
                      <w:marTop w:val="0"/>
                      <w:marBottom w:val="0"/>
                      <w:divBdr>
                        <w:top w:val="none" w:sz="0" w:space="0" w:color="auto"/>
                        <w:left w:val="none" w:sz="0" w:space="0" w:color="auto"/>
                        <w:bottom w:val="none" w:sz="0" w:space="0" w:color="auto"/>
                        <w:right w:val="none" w:sz="0" w:space="0" w:color="auto"/>
                      </w:divBdr>
                    </w:div>
                    <w:div w:id="19262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221">
      <w:bodyDiv w:val="1"/>
      <w:marLeft w:val="0"/>
      <w:marRight w:val="0"/>
      <w:marTop w:val="0"/>
      <w:marBottom w:val="0"/>
      <w:divBdr>
        <w:top w:val="none" w:sz="0" w:space="0" w:color="auto"/>
        <w:left w:val="none" w:sz="0" w:space="0" w:color="auto"/>
        <w:bottom w:val="none" w:sz="0" w:space="0" w:color="auto"/>
        <w:right w:val="none" w:sz="0" w:space="0" w:color="auto"/>
      </w:divBdr>
    </w:div>
    <w:div w:id="958297216">
      <w:bodyDiv w:val="1"/>
      <w:marLeft w:val="0"/>
      <w:marRight w:val="0"/>
      <w:marTop w:val="0"/>
      <w:marBottom w:val="0"/>
      <w:divBdr>
        <w:top w:val="none" w:sz="0" w:space="0" w:color="auto"/>
        <w:left w:val="none" w:sz="0" w:space="0" w:color="auto"/>
        <w:bottom w:val="none" w:sz="0" w:space="0" w:color="auto"/>
        <w:right w:val="none" w:sz="0" w:space="0" w:color="auto"/>
      </w:divBdr>
    </w:div>
    <w:div w:id="1007638228">
      <w:bodyDiv w:val="1"/>
      <w:marLeft w:val="0"/>
      <w:marRight w:val="0"/>
      <w:marTop w:val="0"/>
      <w:marBottom w:val="0"/>
      <w:divBdr>
        <w:top w:val="none" w:sz="0" w:space="0" w:color="auto"/>
        <w:left w:val="none" w:sz="0" w:space="0" w:color="auto"/>
        <w:bottom w:val="none" w:sz="0" w:space="0" w:color="auto"/>
        <w:right w:val="none" w:sz="0" w:space="0" w:color="auto"/>
      </w:divBdr>
      <w:divsChild>
        <w:div w:id="1128428066">
          <w:marLeft w:val="0"/>
          <w:marRight w:val="0"/>
          <w:marTop w:val="0"/>
          <w:marBottom w:val="0"/>
          <w:divBdr>
            <w:top w:val="none" w:sz="0" w:space="0" w:color="auto"/>
            <w:left w:val="none" w:sz="0" w:space="0" w:color="auto"/>
            <w:bottom w:val="none" w:sz="0" w:space="0" w:color="auto"/>
            <w:right w:val="none" w:sz="0" w:space="0" w:color="auto"/>
          </w:divBdr>
        </w:div>
      </w:divsChild>
    </w:div>
    <w:div w:id="1011449531">
      <w:bodyDiv w:val="1"/>
      <w:marLeft w:val="0"/>
      <w:marRight w:val="0"/>
      <w:marTop w:val="0"/>
      <w:marBottom w:val="0"/>
      <w:divBdr>
        <w:top w:val="none" w:sz="0" w:space="0" w:color="auto"/>
        <w:left w:val="none" w:sz="0" w:space="0" w:color="auto"/>
        <w:bottom w:val="none" w:sz="0" w:space="0" w:color="auto"/>
        <w:right w:val="none" w:sz="0" w:space="0" w:color="auto"/>
      </w:divBdr>
    </w:div>
    <w:div w:id="1092749630">
      <w:bodyDiv w:val="1"/>
      <w:marLeft w:val="0"/>
      <w:marRight w:val="0"/>
      <w:marTop w:val="0"/>
      <w:marBottom w:val="0"/>
      <w:divBdr>
        <w:top w:val="none" w:sz="0" w:space="0" w:color="auto"/>
        <w:left w:val="none" w:sz="0" w:space="0" w:color="auto"/>
        <w:bottom w:val="none" w:sz="0" w:space="0" w:color="auto"/>
        <w:right w:val="none" w:sz="0" w:space="0" w:color="auto"/>
      </w:divBdr>
    </w:div>
    <w:div w:id="1237324502">
      <w:bodyDiv w:val="1"/>
      <w:marLeft w:val="0"/>
      <w:marRight w:val="0"/>
      <w:marTop w:val="0"/>
      <w:marBottom w:val="0"/>
      <w:divBdr>
        <w:top w:val="none" w:sz="0" w:space="0" w:color="auto"/>
        <w:left w:val="none" w:sz="0" w:space="0" w:color="auto"/>
        <w:bottom w:val="none" w:sz="0" w:space="0" w:color="auto"/>
        <w:right w:val="none" w:sz="0" w:space="0" w:color="auto"/>
      </w:divBdr>
    </w:div>
    <w:div w:id="1260135953">
      <w:bodyDiv w:val="1"/>
      <w:marLeft w:val="0"/>
      <w:marRight w:val="0"/>
      <w:marTop w:val="0"/>
      <w:marBottom w:val="0"/>
      <w:divBdr>
        <w:top w:val="none" w:sz="0" w:space="0" w:color="auto"/>
        <w:left w:val="none" w:sz="0" w:space="0" w:color="auto"/>
        <w:bottom w:val="none" w:sz="0" w:space="0" w:color="auto"/>
        <w:right w:val="none" w:sz="0" w:space="0" w:color="auto"/>
      </w:divBdr>
    </w:div>
    <w:div w:id="1429081439">
      <w:bodyDiv w:val="1"/>
      <w:marLeft w:val="0"/>
      <w:marRight w:val="0"/>
      <w:marTop w:val="0"/>
      <w:marBottom w:val="0"/>
      <w:divBdr>
        <w:top w:val="none" w:sz="0" w:space="0" w:color="auto"/>
        <w:left w:val="none" w:sz="0" w:space="0" w:color="auto"/>
        <w:bottom w:val="none" w:sz="0" w:space="0" w:color="auto"/>
        <w:right w:val="none" w:sz="0" w:space="0" w:color="auto"/>
      </w:divBdr>
    </w:div>
    <w:div w:id="1453862131">
      <w:bodyDiv w:val="1"/>
      <w:marLeft w:val="0"/>
      <w:marRight w:val="0"/>
      <w:marTop w:val="0"/>
      <w:marBottom w:val="0"/>
      <w:divBdr>
        <w:top w:val="none" w:sz="0" w:space="0" w:color="auto"/>
        <w:left w:val="none" w:sz="0" w:space="0" w:color="auto"/>
        <w:bottom w:val="none" w:sz="0" w:space="0" w:color="auto"/>
        <w:right w:val="none" w:sz="0" w:space="0" w:color="auto"/>
      </w:divBdr>
    </w:div>
    <w:div w:id="1498613439">
      <w:bodyDiv w:val="1"/>
      <w:marLeft w:val="0"/>
      <w:marRight w:val="0"/>
      <w:marTop w:val="0"/>
      <w:marBottom w:val="0"/>
      <w:divBdr>
        <w:top w:val="none" w:sz="0" w:space="0" w:color="auto"/>
        <w:left w:val="none" w:sz="0" w:space="0" w:color="auto"/>
        <w:bottom w:val="none" w:sz="0" w:space="0" w:color="auto"/>
        <w:right w:val="none" w:sz="0" w:space="0" w:color="auto"/>
      </w:divBdr>
    </w:div>
    <w:div w:id="1734935463">
      <w:bodyDiv w:val="1"/>
      <w:marLeft w:val="0"/>
      <w:marRight w:val="0"/>
      <w:marTop w:val="0"/>
      <w:marBottom w:val="0"/>
      <w:divBdr>
        <w:top w:val="none" w:sz="0" w:space="0" w:color="auto"/>
        <w:left w:val="none" w:sz="0" w:space="0" w:color="auto"/>
        <w:bottom w:val="none" w:sz="0" w:space="0" w:color="auto"/>
        <w:right w:val="none" w:sz="0" w:space="0" w:color="auto"/>
      </w:divBdr>
    </w:div>
    <w:div w:id="1827933915">
      <w:bodyDiv w:val="1"/>
      <w:marLeft w:val="0"/>
      <w:marRight w:val="0"/>
      <w:marTop w:val="0"/>
      <w:marBottom w:val="0"/>
      <w:divBdr>
        <w:top w:val="none" w:sz="0" w:space="0" w:color="auto"/>
        <w:left w:val="none" w:sz="0" w:space="0" w:color="auto"/>
        <w:bottom w:val="none" w:sz="0" w:space="0" w:color="auto"/>
        <w:right w:val="none" w:sz="0" w:space="0" w:color="auto"/>
      </w:divBdr>
    </w:div>
    <w:div w:id="20255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1280-E597-4421-9C69-CC211307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jgodfrey</dc:creator>
  <cp:lastModifiedBy>%username%</cp:lastModifiedBy>
  <cp:revision>48</cp:revision>
  <cp:lastPrinted>2018-12-12T10:20:00Z</cp:lastPrinted>
  <dcterms:created xsi:type="dcterms:W3CDTF">2018-11-05T15:03:00Z</dcterms:created>
  <dcterms:modified xsi:type="dcterms:W3CDTF">2019-12-12T13:32:00Z</dcterms:modified>
</cp:coreProperties>
</file>